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DF0341" w:rsidP="00B43E6E">
      <w:pPr>
        <w:tabs>
          <w:tab w:val="left" w:pos="1080"/>
        </w:tabs>
        <w:ind w:right="-1"/>
        <w:rPr>
          <w:sz w:val="28"/>
          <w:szCs w:val="28"/>
        </w:rPr>
      </w:pPr>
      <w:r w:rsidRPr="00DF0341">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proofErr w:type="spellStart"/>
                  <w:r w:rsidR="00A71038">
                    <w:rPr>
                      <w:color w:val="000099"/>
                      <w:sz w:val="20"/>
                      <w:szCs w:val="20"/>
                      <w:lang w:val="en-US"/>
                    </w:rPr>
                    <w:t>smolensk</w:t>
                  </w:r>
                  <w:proofErr w:type="spellEnd"/>
                  <w:r w:rsidR="00A71038" w:rsidRPr="00865E79">
                    <w:rPr>
                      <w:color w:val="000099"/>
                      <w:sz w:val="20"/>
                      <w:szCs w:val="20"/>
                    </w:rPr>
                    <w:t>.</w:t>
                  </w:r>
                  <w:proofErr w:type="spellStart"/>
                  <w:r w:rsidR="00A71038">
                    <w:rPr>
                      <w:color w:val="000099"/>
                      <w:sz w:val="20"/>
                      <w:szCs w:val="20"/>
                      <w:lang w:val="en-US"/>
                    </w:rPr>
                    <w:t>ru</w:t>
                  </w:r>
                  <w:proofErr w:type="spellEnd"/>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proofErr w:type="spellStart"/>
                  <w:r w:rsidR="00154E98" w:rsidRPr="00CE522B">
                    <w:rPr>
                      <w:color w:val="000080"/>
                      <w:sz w:val="20"/>
                      <w:szCs w:val="20"/>
                      <w:lang w:val="en-US"/>
                    </w:rPr>
                    <w:t>smolensk</w:t>
                  </w:r>
                  <w:proofErr w:type="spellEnd"/>
                  <w:r w:rsidR="00154E98" w:rsidRPr="00865E79">
                    <w:rPr>
                      <w:color w:val="000080"/>
                      <w:sz w:val="20"/>
                      <w:szCs w:val="20"/>
                    </w:rPr>
                    <w:t>.</w:t>
                  </w:r>
                  <w:proofErr w:type="spellStart"/>
                  <w:r w:rsidR="00154E98" w:rsidRPr="00CE522B">
                    <w:rPr>
                      <w:color w:val="000080"/>
                      <w:sz w:val="20"/>
                      <w:szCs w:val="20"/>
                      <w:lang w:val="en-US"/>
                    </w:rPr>
                    <w:t>ru</w:t>
                  </w:r>
                  <w:proofErr w:type="spellEnd"/>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DF0341" w:rsidP="00CE2700">
      <w:pPr>
        <w:tabs>
          <w:tab w:val="left" w:pos="1080"/>
        </w:tabs>
        <w:ind w:right="-1"/>
        <w:jc w:val="center"/>
        <w:rPr>
          <w:sz w:val="28"/>
          <w:szCs w:val="28"/>
        </w:rPr>
      </w:pPr>
      <w:r w:rsidRPr="00DF0341">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1E571D"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Pr="001E571D">
        <w:rPr>
          <w:rFonts w:ascii="Times New Roman" w:hAnsi="Times New Roman" w:cs="Times New Roman"/>
          <w:i/>
          <w:sz w:val="28"/>
          <w:szCs w:val="28"/>
          <w:u w:val="single"/>
        </w:rPr>
        <w:t xml:space="preserve"> Администрации Смоленской области от 03.06.2016  № 308  «Об утверждении Порядка предоставления субсидии некоммерческим организациям, не являющимся государственными (муниципальными) учреждениями, на возмещение затрат, связанных с оказанием услуг по социальному обслуживанию на дому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B43E6E">
      <w:pPr>
        <w:autoSpaceDE w:val="0"/>
        <w:autoSpaceDN w:val="0"/>
        <w:adjustRightInd w:val="0"/>
        <w:jc w:val="both"/>
        <w:rPr>
          <w:sz w:val="28"/>
          <w:szCs w:val="28"/>
        </w:rPr>
      </w:pPr>
    </w:p>
    <w:sectPr w:rsidR="00263A3D" w:rsidRPr="00F9233B" w:rsidSect="004F331A">
      <w:headerReference w:type="even" r:id="rId9"/>
      <w:headerReference w:type="default" r:id="rId10"/>
      <w:pgSz w:w="11906" w:h="16838"/>
      <w:pgMar w:top="1134" w:right="567" w:bottom="709"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EF" w:rsidRDefault="004957EF">
      <w:r>
        <w:separator/>
      </w:r>
    </w:p>
  </w:endnote>
  <w:endnote w:type="continuationSeparator" w:id="1">
    <w:p w:rsidR="004957EF" w:rsidRDefault="00495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EF" w:rsidRDefault="004957EF">
      <w:r>
        <w:separator/>
      </w:r>
    </w:p>
  </w:footnote>
  <w:footnote w:type="continuationSeparator" w:id="1">
    <w:p w:rsidR="004957EF" w:rsidRDefault="0049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2113"/>
      <w:docPartObj>
        <w:docPartGallery w:val="Page Numbers (Top of Page)"/>
        <w:docPartUnique/>
      </w:docPartObj>
    </w:sdtPr>
    <w:sdtContent>
      <w:p w:rsidR="0029489E" w:rsidRDefault="00B43E6E">
        <w:pPr>
          <w:pStyle w:val="a4"/>
          <w:jc w:val="center"/>
        </w:pPr>
        <w:r>
          <w:t>3</w:t>
        </w:r>
      </w:p>
    </w:sdtContent>
  </w:sdt>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B363B"/>
    <w:rsid w:val="001B7754"/>
    <w:rsid w:val="001C056C"/>
    <w:rsid w:val="001C0872"/>
    <w:rsid w:val="001C3CD9"/>
    <w:rsid w:val="001D2DA6"/>
    <w:rsid w:val="001D419D"/>
    <w:rsid w:val="001D4D5B"/>
    <w:rsid w:val="001D5A0C"/>
    <w:rsid w:val="001D5CB7"/>
    <w:rsid w:val="001D7A45"/>
    <w:rsid w:val="001E0696"/>
    <w:rsid w:val="001E560D"/>
    <w:rsid w:val="001E571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5A1C"/>
    <w:rsid w:val="00287661"/>
    <w:rsid w:val="0029489E"/>
    <w:rsid w:val="002969E4"/>
    <w:rsid w:val="00296EE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304552"/>
    <w:rsid w:val="003175DF"/>
    <w:rsid w:val="003210B3"/>
    <w:rsid w:val="00341960"/>
    <w:rsid w:val="00342E1E"/>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263E"/>
    <w:rsid w:val="005C48A5"/>
    <w:rsid w:val="005C5404"/>
    <w:rsid w:val="005C6B69"/>
    <w:rsid w:val="005D1997"/>
    <w:rsid w:val="005E0EEF"/>
    <w:rsid w:val="005E5B76"/>
    <w:rsid w:val="00602C89"/>
    <w:rsid w:val="00603214"/>
    <w:rsid w:val="00610037"/>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33FD2"/>
    <w:rsid w:val="008352A3"/>
    <w:rsid w:val="0084101B"/>
    <w:rsid w:val="008429E3"/>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F34EF"/>
    <w:rsid w:val="009F3D98"/>
    <w:rsid w:val="009F7948"/>
    <w:rsid w:val="00A031FF"/>
    <w:rsid w:val="00A03682"/>
    <w:rsid w:val="00A10A54"/>
    <w:rsid w:val="00A14509"/>
    <w:rsid w:val="00A17FC9"/>
    <w:rsid w:val="00A21B8B"/>
    <w:rsid w:val="00A31318"/>
    <w:rsid w:val="00A32D6E"/>
    <w:rsid w:val="00A34246"/>
    <w:rsid w:val="00A37B38"/>
    <w:rsid w:val="00A4267C"/>
    <w:rsid w:val="00A444A9"/>
    <w:rsid w:val="00A46927"/>
    <w:rsid w:val="00A47796"/>
    <w:rsid w:val="00A5124D"/>
    <w:rsid w:val="00A52F0F"/>
    <w:rsid w:val="00A65886"/>
    <w:rsid w:val="00A66892"/>
    <w:rsid w:val="00A71038"/>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3383"/>
    <w:rsid w:val="00D37930"/>
    <w:rsid w:val="00D417C2"/>
    <w:rsid w:val="00D463C6"/>
    <w:rsid w:val="00D541A4"/>
    <w:rsid w:val="00D56EFE"/>
    <w:rsid w:val="00D66AA6"/>
    <w:rsid w:val="00D71B82"/>
    <w:rsid w:val="00D735E3"/>
    <w:rsid w:val="00D97F4C"/>
    <w:rsid w:val="00DA24A4"/>
    <w:rsid w:val="00DB0F40"/>
    <w:rsid w:val="00DB3DDD"/>
    <w:rsid w:val="00DB606E"/>
    <w:rsid w:val="00DB7F91"/>
    <w:rsid w:val="00DD4760"/>
    <w:rsid w:val="00DD4900"/>
    <w:rsid w:val="00DD4B21"/>
    <w:rsid w:val="00DE12A1"/>
    <w:rsid w:val="00DF034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3</cp:revision>
  <cp:lastPrinted>2021-07-28T07:47:00Z</cp:lastPrinted>
  <dcterms:created xsi:type="dcterms:W3CDTF">2023-03-21T09:14:00Z</dcterms:created>
  <dcterms:modified xsi:type="dcterms:W3CDTF">2023-06-08T06:32:00Z</dcterms:modified>
</cp:coreProperties>
</file>