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852115">
        <w:rPr>
          <w:color w:val="000080"/>
          <w:sz w:val="24"/>
          <w:szCs w:val="24"/>
        </w:rPr>
        <w:t>27</w:t>
      </w:r>
      <w:r w:rsidR="004250B0">
        <w:rPr>
          <w:color w:val="000080"/>
          <w:sz w:val="24"/>
          <w:szCs w:val="24"/>
        </w:rPr>
        <w:t>.</w:t>
      </w:r>
      <w:r w:rsidR="00852115">
        <w:rPr>
          <w:color w:val="000080"/>
          <w:sz w:val="24"/>
          <w:szCs w:val="24"/>
        </w:rPr>
        <w:t>1</w:t>
      </w:r>
      <w:r w:rsidR="004250B0">
        <w:rPr>
          <w:color w:val="000080"/>
          <w:sz w:val="24"/>
          <w:szCs w:val="24"/>
        </w:rPr>
        <w:t>2.202</w:t>
      </w:r>
      <w:r w:rsidR="00852115">
        <w:rPr>
          <w:color w:val="000080"/>
          <w:sz w:val="24"/>
          <w:szCs w:val="24"/>
        </w:rPr>
        <w:t>2</w:t>
      </w:r>
      <w:r w:rsidR="004250B0">
        <w:rPr>
          <w:color w:val="000080"/>
          <w:sz w:val="24"/>
          <w:szCs w:val="24"/>
        </w:rPr>
        <w:t xml:space="preserve">  № </w:t>
      </w:r>
      <w:r w:rsidR="00852115">
        <w:rPr>
          <w:color w:val="000080"/>
          <w:sz w:val="24"/>
          <w:szCs w:val="24"/>
        </w:rPr>
        <w:t>1053</w:t>
      </w:r>
    </w:p>
    <w:p w:rsidR="00D622A1" w:rsidRDefault="00D622A1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41306D" w:rsidRDefault="00FF0D10" w:rsidP="0041306D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 w:rsidRPr="003F7E5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F7E54">
        <w:rPr>
          <w:sz w:val="28"/>
          <w:szCs w:val="28"/>
        </w:rPr>
        <w:t xml:space="preserve"> в </w:t>
      </w:r>
      <w:r w:rsidR="0041306D">
        <w:rPr>
          <w:sz w:val="28"/>
          <w:szCs w:val="28"/>
        </w:rPr>
        <w:t xml:space="preserve">порядок определения объёма и предоставления субсидий социально ориентированным некоммерческим организациям, в том числе в рамках областного закона    от   22   июня   2007 года  </w:t>
      </w:r>
    </w:p>
    <w:p w:rsidR="00FF0D10" w:rsidRDefault="0041306D" w:rsidP="0041306D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№56-З «О взаимодействии органов государственной власти Смоленской области с некоммерческими организациями», в рамках реализации областной государственной программы</w:t>
      </w:r>
      <w:r w:rsidR="00852115">
        <w:rPr>
          <w:sz w:val="28"/>
          <w:szCs w:val="28"/>
        </w:rPr>
        <w:t xml:space="preserve"> «Развитие информационного пространства и гражданского общества в Смоленской области»</w:t>
      </w:r>
      <w:r>
        <w:rPr>
          <w:sz w:val="28"/>
          <w:szCs w:val="28"/>
        </w:rPr>
        <w:t xml:space="preserve"> </w:t>
      </w:r>
    </w:p>
    <w:p w:rsidR="0041306D" w:rsidRDefault="0041306D" w:rsidP="00FF0D10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</w:p>
    <w:p w:rsidR="00FF0D10" w:rsidRPr="002859E2" w:rsidRDefault="00FF0D10" w:rsidP="00FF0D10">
      <w:pPr>
        <w:rPr>
          <w:sz w:val="28"/>
          <w:szCs w:val="28"/>
        </w:rPr>
      </w:pP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t>Администрация Смоленской области п о с т а н о в л я е т:</w:t>
      </w: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Внести в </w:t>
      </w:r>
      <w:hyperlink r:id="rId8">
        <w:r w:rsidRPr="00852115">
          <w:t>Порядок</w:t>
        </w:r>
      </w:hyperlink>
      <w:r w:rsidRPr="00852115">
        <w:t xml:space="preserve">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"Развитие информационного пространства и гражданского общества в Смоленской области", утвержденный постановлением Администрации Смоленской области от 23.05.2018 N 336 (в редакции постановлений Администрации Смоленской области от 20.02.2019 N 50, от 28.04.2021 N 279, от 18.06.2021 N 366, от 09.02.2022 N 60, от 21.06.2022 N 401), следующие изменения: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1) в </w:t>
      </w:r>
      <w:hyperlink r:id="rId9">
        <w:r w:rsidRPr="00852115">
          <w:t>разделе 1</w:t>
        </w:r>
      </w:hyperlink>
      <w:r w:rsidRPr="00852115">
        <w:t>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lastRenderedPageBreak/>
        <w:t xml:space="preserve">- </w:t>
      </w:r>
      <w:hyperlink r:id="rId10">
        <w:r w:rsidRPr="00852115">
          <w:t>пункт 1.2</w:t>
        </w:r>
      </w:hyperlink>
      <w:r w:rsidRPr="00852115">
        <w:t xml:space="preserve"> изложить в следующей редакции: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"1.2. 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(проектов), направленных на развитие гражданского общества (далее - социальная программа (проект)), в том числе расходов на подготовку и проведение основных мероприятий социальной программы (проекта), включая: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текущие расходы, предусмотренные бюджетом социальной программы (проекта), связанные с реализацией мероприятий социальной программы (проекта) (в том числе на проезд к месту проведения мероприятия и обратно, проживание и питание в период проведения мероприятия, канцелярские товары, расходные материалы, коммунальные услуги, услуги связи, услуги банков (комиссия за прием и исполнение платежных поручений), почтовые услуги);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оплату труда и страховые взносы на обязательное пенсионное, медицинское и социальное страхование работников социально ориентированной некоммерческой организации, участвующих в реализации социальной программы (проекта), которые не превышают размера средней заработной платы в Смоленской области за год, предшествующий текущему году (по данным Росстата);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командировочные расходы работников социально ориентированной некоммерческой организации, участвующих в реализации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оплату работ и услуг, в том числе лиц, привлекаемых по гражданско-правовым договорам, необходимых для реализации социальной программы (проекта);</w:t>
      </w:r>
    </w:p>
    <w:p w:rsid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материальное стимулирование членов и участников некоммерческих организаций, привлеченных для реализации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аренду имущества (в том числе нежилых помещений, зданий, оборудования, инвентаря, автомобильного транспорта), необходимого для реализации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расходы на приобретение и эксплуатацию основных средств, необходимых для реализации социальной программы (проекта).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Не допускается финансовое обеспечение за счет средств субсидии следующих затрат: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связанных с осуществлением предпринимательской деятельности и оказанием помощи коммерческим организациям;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связанных с осуществлением деятельности, напрямую не связанной с реализацией социальной программы (проекта);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поддержку политических партий и кампаний;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проведение митингов, демонстраций, пикетирований;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фундаментальные научные исследования;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приобретение алкогольных напитков и табачной продукции;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-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lastRenderedPageBreak/>
        <w:t>- на погашение просроченной задолженности социально ориентированной некоммерческой организации по налоговым и иным обязательным платежам в бюджетную систему Российской Федерации.";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1">
        <w:r w:rsidRPr="00852115">
          <w:t>абзаце втором пункта 1.4</w:t>
        </w:r>
      </w:hyperlink>
      <w:r w:rsidRPr="00852115">
        <w:t xml:space="preserve"> слово "указанными" заменить словом "иными";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2">
        <w:r w:rsidRPr="00852115">
          <w:t>пункте 1.5</w:t>
        </w:r>
      </w:hyperlink>
      <w:r w:rsidRPr="00852115">
        <w:t xml:space="preserve"> слова "органом исполнительной власти" заменить словами "исполнительным органом";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3">
        <w:r w:rsidRPr="00852115">
          <w:t>пункте 1.6</w:t>
        </w:r>
      </w:hyperlink>
      <w:r w:rsidRPr="00852115">
        <w:t>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после </w:t>
      </w:r>
      <w:hyperlink r:id="rId14">
        <w:r w:rsidRPr="00852115">
          <w:t>абзаца седьмого</w:t>
        </w:r>
      </w:hyperlink>
      <w:r w:rsidRPr="00852115">
        <w:t xml:space="preserve"> дополнить абзацем следующего содержания: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"- неполучение социально ориентированной некоммерческой организацией субсидий на обеспечение затрат по приоритетным направлениям поддержки, указанным в пункте 1.3 настоящего Порядка, из областного бюджета в соответствии с иными областными нормативными правовыми актами.";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в </w:t>
      </w:r>
      <w:hyperlink r:id="rId15">
        <w:r w:rsidRPr="00852115">
          <w:t>абзаце девятом</w:t>
        </w:r>
      </w:hyperlink>
      <w:r w:rsidRPr="00852115">
        <w:t xml:space="preserve"> слова "абзацах втором - шестом" заменить словами "абзацах втором - шестом, восьмом";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</w:t>
      </w:r>
      <w:hyperlink r:id="rId16">
        <w:r w:rsidRPr="00852115">
          <w:t>абзац третий пункта 1.8</w:t>
        </w:r>
      </w:hyperlink>
      <w:r w:rsidRPr="00852115">
        <w:t xml:space="preserve"> изложить в следующей редакции: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2) в </w:t>
      </w:r>
      <w:hyperlink r:id="rId17">
        <w:r w:rsidRPr="00852115">
          <w:t>пункте 4.7 раздела 4</w:t>
        </w:r>
      </w:hyperlink>
      <w:r w:rsidRPr="00852115">
        <w:t>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</w:t>
      </w:r>
      <w:hyperlink r:id="rId18">
        <w:r w:rsidRPr="00852115">
          <w:t>абзац шестой</w:t>
        </w:r>
      </w:hyperlink>
      <w:r w:rsidRPr="00852115">
        <w:t xml:space="preserve"> изложить в следующей редакции: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"Решение об отказе в заключении с победителем конкурса договора и в предоставлении субсидии принимается уполномоченным органом в течение 3 рабочих дней со дня утверждения итогов конкурса. Решение оформляется приказом руководителя уполномоченного органа и доводится до победителя конкурса в письменной форме в течение 3 рабочих дней со дня принятия указанного решения с обоснованием причин отказа.";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 xml:space="preserve">- </w:t>
      </w:r>
      <w:hyperlink r:id="rId19">
        <w:r w:rsidRPr="00852115">
          <w:t>дополнить</w:t>
        </w:r>
      </w:hyperlink>
      <w:r w:rsidRPr="00852115">
        <w:t xml:space="preserve"> абзацем следующего содержания:</w:t>
      </w:r>
    </w:p>
    <w:p w:rsidR="00852115" w:rsidRPr="00852115" w:rsidRDefault="00852115" w:rsidP="00852115">
      <w:pPr>
        <w:pStyle w:val="ConsPlusNormal"/>
        <w:spacing w:before="280"/>
        <w:ind w:firstLine="539"/>
        <w:contextualSpacing/>
        <w:jc w:val="both"/>
      </w:pPr>
      <w:r w:rsidRPr="00852115">
        <w:t>"В случае отказа от заключения договора и получения субсидии социально ориентированная некоммерческая организация не позднее 3 рабочих дней со дня размещения приказа руководителя уполномоченного органа об утверждении итогов конкурса на официальном сайте уполномоченного органа в информационно-телекоммуникационной сети "Интернет" направляет письменное уведомление в уполномоченный орган.".</w:t>
      </w:r>
    </w:p>
    <w:p w:rsidR="00FF0D10" w:rsidRPr="00786D77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Pr="0082265F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3F7E54">
        <w:rPr>
          <w:sz w:val="28"/>
          <w:szCs w:val="28"/>
        </w:rPr>
        <w:t xml:space="preserve"> </w:t>
      </w:r>
    </w:p>
    <w:p w:rsidR="00FF0D10" w:rsidRPr="00717015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3F7E54">
        <w:rPr>
          <w:sz w:val="28"/>
          <w:szCs w:val="28"/>
        </w:rPr>
        <w:t>Смоленской области</w:t>
      </w:r>
      <w:r w:rsidRPr="003F7E5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Pr="003F7E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Островский</w:t>
      </w:r>
    </w:p>
    <w:p w:rsidR="00FF0D10" w:rsidRPr="002D6B7D" w:rsidRDefault="00FF0D10" w:rsidP="00E824FB">
      <w:pPr>
        <w:rPr>
          <w:sz w:val="28"/>
          <w:szCs w:val="28"/>
        </w:rPr>
      </w:pPr>
    </w:p>
    <w:sectPr w:rsidR="00FF0D10" w:rsidRPr="002D6B7D" w:rsidSect="00FF0D10">
      <w:headerReference w:type="default" r:id="rId20"/>
      <w:pgSz w:w="11906" w:h="16838" w:code="9"/>
      <w:pgMar w:top="567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A3" w:rsidRDefault="004649A3">
      <w:r>
        <w:separator/>
      </w:r>
    </w:p>
  </w:endnote>
  <w:endnote w:type="continuationSeparator" w:id="1">
    <w:p w:rsidR="004649A3" w:rsidRDefault="0046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A3" w:rsidRDefault="004649A3">
      <w:r>
        <w:separator/>
      </w:r>
    </w:p>
  </w:footnote>
  <w:footnote w:type="continuationSeparator" w:id="1">
    <w:p w:rsidR="004649A3" w:rsidRDefault="0046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50706"/>
      <w:docPartObj>
        <w:docPartGallery w:val="Page Numbers (Top of Page)"/>
        <w:docPartUnique/>
      </w:docPartObj>
    </w:sdtPr>
    <w:sdtContent>
      <w:p w:rsidR="00FF0D10" w:rsidRDefault="00202CF4">
        <w:pPr>
          <w:pStyle w:val="a3"/>
          <w:jc w:val="center"/>
        </w:pPr>
        <w:r>
          <w:fldChar w:fldCharType="begin"/>
        </w:r>
        <w:r w:rsidR="00FF0D10">
          <w:instrText>PAGE   \* MERGEFORMAT</w:instrText>
        </w:r>
        <w:r>
          <w:fldChar w:fldCharType="separate"/>
        </w:r>
        <w:r w:rsidR="00435445">
          <w:rPr>
            <w:noProof/>
          </w:rPr>
          <w:t>3</w:t>
        </w:r>
        <w:r>
          <w:fldChar w:fldCharType="end"/>
        </w:r>
      </w:p>
    </w:sdtContent>
  </w:sdt>
  <w:p w:rsidR="00FF0D10" w:rsidRDefault="00FF0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A0"/>
    <w:multiLevelType w:val="hybridMultilevel"/>
    <w:tmpl w:val="6CA47242"/>
    <w:lvl w:ilvl="0" w:tplc="3A064A9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C7892"/>
    <w:rsid w:val="000E2BFA"/>
    <w:rsid w:val="00121200"/>
    <w:rsid w:val="00122064"/>
    <w:rsid w:val="00202CF4"/>
    <w:rsid w:val="00245337"/>
    <w:rsid w:val="00283E6B"/>
    <w:rsid w:val="002D6B7D"/>
    <w:rsid w:val="002E43F4"/>
    <w:rsid w:val="00301C7B"/>
    <w:rsid w:val="00305CA4"/>
    <w:rsid w:val="00327946"/>
    <w:rsid w:val="003563D4"/>
    <w:rsid w:val="00364B00"/>
    <w:rsid w:val="003C2285"/>
    <w:rsid w:val="0041306D"/>
    <w:rsid w:val="004250B0"/>
    <w:rsid w:val="00426273"/>
    <w:rsid w:val="00435445"/>
    <w:rsid w:val="00450096"/>
    <w:rsid w:val="004559CD"/>
    <w:rsid w:val="004649A3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52115"/>
    <w:rsid w:val="008C50CA"/>
    <w:rsid w:val="008D6FD6"/>
    <w:rsid w:val="00920C40"/>
    <w:rsid w:val="00951AC6"/>
    <w:rsid w:val="009B1100"/>
    <w:rsid w:val="00A057EB"/>
    <w:rsid w:val="00A16598"/>
    <w:rsid w:val="00AC405F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306D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8"/>
    </w:rPr>
  </w:style>
  <w:style w:type="paragraph" w:customStyle="1" w:styleId="ConsPlusNormal">
    <w:name w:val="ConsPlusNormal"/>
    <w:rsid w:val="00852115"/>
    <w:pPr>
      <w:widowControl w:val="0"/>
      <w:autoSpaceDE w:val="0"/>
      <w:autoSpaceDN w:val="0"/>
      <w:spacing w:after="0" w:line="240" w:lineRule="auto"/>
    </w:pPr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5CACB00322F0E91AADA6683EEB57BE3B62E04D5D1C99BAF28349760510B54FC2F0E6037D23C57FC235F9CE2CC97EE4DE4B9B77927B18C990B3846g9o0J" TargetMode="External"/><Relationship Id="rId13" Type="http://schemas.openxmlformats.org/officeDocument/2006/relationships/hyperlink" Target="consultantplus://offline/ref=41E5CACB00322F0E91AADA6683EEB57BE3B62E04D5D1C99BAF28349760510B54FC2F0E6037D23C57FC235D9CE7CC97EE4DE4B9B77927B18C990B3846g9o0J" TargetMode="External"/><Relationship Id="rId18" Type="http://schemas.openxmlformats.org/officeDocument/2006/relationships/hyperlink" Target="consultantplus://offline/ref=41E5CACB00322F0E91AADA6683EEB57BE3B62E04D5D1C99BAF28349760510B54FC2F0E6037D23C57FC235E9BE1CC97EE4DE4B9B77927B18C990B3846g9o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E5CACB00322F0E91AADA6683EEB57BE3B62E04D5D1C99BAF28349760510B54FC2F0E6037D23C57FC235D9BEECC97EE4DE4B9B77927B18C990B3846g9o0J" TargetMode="External"/><Relationship Id="rId17" Type="http://schemas.openxmlformats.org/officeDocument/2006/relationships/hyperlink" Target="consultantplus://offline/ref=41E5CACB00322F0E91AADA6683EEB57BE3B62E04D5D1C99BAF28349760510B54FC2F0E6037D23C57FC235E9BE6CC97EE4DE4B9B77927B18C990B3846g9o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E5CACB00322F0E91AADA6683EEB57BE3B62E04D5D1C99BAF28349760510B54FC2F0E6037D23C57FC235F9EE0CC97EE4DE4B9B77927B18C990B3846g9o0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E5CACB00322F0E91AADA6683EEB57BE3B62E04D5D1C99BAF28349760510B54FC2F0E6037D23C57FC235D9BEFCC97EE4DE4B9B77927B18C990B3846g9o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E5CACB00322F0E91AADA6683EEB57BE3B62E04D5D1C99BAF28349760510B54FC2F0E6037D23C57FC235F9EE2CC97EE4DE4B9B77927B18C990B3846g9o0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1E5CACB00322F0E91AADA6683EEB57BE3B62E04D5D1C99BAF28349760510B54FC2F0E6037D23C57FC235D99EFCC97EE4DE4B9B77927B18C990B3846g9o0J" TargetMode="External"/><Relationship Id="rId19" Type="http://schemas.openxmlformats.org/officeDocument/2006/relationships/hyperlink" Target="consultantplus://offline/ref=41E5CACB00322F0E91AADA6683EEB57BE3B62E04D5D1C99BAF28349760510B54FC2F0E6037D23C57FC235E9BE6CC97EE4DE4B9B77927B18C990B3846g9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5CACB00322F0E91AADA6683EEB57BE3B62E04D5D1C99BAF28349760510B54FC2F0E6037D23C57FC235D99E1CC97EE4DE4B9B77927B18C990B3846g9o0J" TargetMode="External"/><Relationship Id="rId14" Type="http://schemas.openxmlformats.org/officeDocument/2006/relationships/hyperlink" Target="consultantplus://offline/ref=41E5CACB00322F0E91AADA6683EEB57BE3B62E04D5D1C99BAF28349760510B54FC2F0E6037D23C57FC235D9CE3CC97EE4DE4B9B77927B18C990B3846g9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Anna</cp:lastModifiedBy>
  <cp:revision>2</cp:revision>
  <cp:lastPrinted>2021-04-01T07:12:00Z</cp:lastPrinted>
  <dcterms:created xsi:type="dcterms:W3CDTF">2023-04-21T10:36:00Z</dcterms:created>
  <dcterms:modified xsi:type="dcterms:W3CDTF">2023-04-21T10:36:00Z</dcterms:modified>
</cp:coreProperties>
</file>