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30.04.2020 N 29-з</w:t>
              <w:br/>
              <w:t xml:space="preserve">(ред. от 26.06.2024)</w:t>
              <w:br/>
              <w:t xml:space="preserve">"Об инвестиционном налоговом вычете по налогу на прибыль организаций на территории Смоленской области"</w:t>
              <w:br/>
              <w:t xml:space="preserve">(принят Смоленской областной Думой 30.04.2020)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30 апреля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29-з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ИНВЕСТИЦИОННОМ НАЛОГОВОМ ВЫЧЕТЕ ПО НАЛОГУ НА ПРИБЫЛЬ</w:t>
      </w:r>
    </w:p>
    <w:p>
      <w:pPr>
        <w:pStyle w:val="2"/>
        <w:jc w:val="center"/>
      </w:pPr>
      <w:r>
        <w:rPr>
          <w:sz w:val="20"/>
        </w:rPr>
        <w:t xml:space="preserve">ОРГАНИЗАЦИЙ НА ТЕРРИТОРИИ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30 апреля 2020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24.09.2020 </w:t>
            </w:r>
            <w:hyperlink w:history="0" r:id="rId7" w:tooltip="Закон Смоленской области от 24.09.2020 N 112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24.09.2020) {КонсультантПлюс}">
              <w:r>
                <w:rPr>
                  <w:sz w:val="20"/>
                  <w:color w:val="0000ff"/>
                </w:rPr>
                <w:t xml:space="preserve">N 112-з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8" w:tooltip="Закон Смоленской области от 30.06.2022 N 64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30.06.2022) {КонсультантПлюс}">
              <w:r>
                <w:rPr>
                  <w:sz w:val="20"/>
                  <w:color w:val="0000ff"/>
                </w:rPr>
                <w:t xml:space="preserve">N 64-з</w:t>
              </w:r>
            </w:hyperlink>
            <w:r>
              <w:rPr>
                <w:sz w:val="20"/>
                <w:color w:val="392c69"/>
              </w:rPr>
              <w:t xml:space="preserve">, от 26.06.2024 </w:t>
            </w:r>
            <w:hyperlink w:history="0" r:id="rId9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      <w:r>
                <w:rPr>
                  <w:sz w:val="20"/>
                  <w:color w:val="0000ff"/>
                </w:rPr>
                <w:t xml:space="preserve">N 149-з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 соответствии со </w:t>
      </w:r>
      <w:hyperlink w:history="0" r:id="rId10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статьей 286.1</w:t>
        </w:r>
      </w:hyperlink>
      <w:r>
        <w:rPr>
          <w:sz w:val="20"/>
        </w:rPr>
        <w:t xml:space="preserve"> Налогового кодекса Российской Федерации устанавливает право налогоплательщика на применение инвестиционного налогового вычета по налогу на прибыль организаций (далее - инвестиционный налоговый вычет) на территории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0"/>
        <w:ind w:firstLine="540"/>
        <w:jc w:val="both"/>
      </w:pPr>
      <w:r>
        <w:rPr>
          <w:sz w:val="20"/>
        </w:rPr>
        <w:t xml:space="preserve">1. Право на применение инвестиционного налогового вычета в отношении расходов налогоплательщика, указанных в </w:t>
      </w:r>
      <w:hyperlink w:history="0" r:id="rId11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12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2 пункта 2 статьи 286.1</w:t>
        </w:r>
      </w:hyperlink>
      <w:r>
        <w:rPr>
          <w:sz w:val="20"/>
        </w:rPr>
        <w:t xml:space="preserve"> Налогового кодекса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Смоленской области, предоставляется: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налогоплательщикам, которые согласно сведениям, содержащимся в Едином государственном реестре юридических лиц, осуществляют основной вид экономической деятельности, указанный в Общероссийском </w:t>
      </w:r>
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<w:r>
          <w:rPr>
            <w:sz w:val="20"/>
            <w:color w:val="0000ff"/>
          </w:rPr>
          <w:t xml:space="preserve">классификаторе</w:t>
        </w:r>
      </w:hyperlink>
      <w:r>
        <w:rPr>
          <w:sz w:val="20"/>
        </w:rPr>
        <w:t xml:space="preserve"> видов экономической деятельности, принятом </w:t>
      </w:r>
      <w:hyperlink w:history="0" r:id="rId14" w:tooltip="Приказ Росстандарта от 31.01.2014 N 14-ст (ред. от 16.10.2018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&quot;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31 января 2014 года N 14-ст (далее - ОКВЭД), из числа указанных в </w:t>
      </w:r>
      <w:hyperlink w:history="0" w:anchor="P69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областному закону видов экономической деятельности, доля выручки от которого составляет не менее 70 процентов в общем объеме выручки от реализации товаров (работ, услуг) за налоговый период, предшествующий налоговому периоду, в котором заявлено право на применение инвестиционного налогового вычета, и сведения о которых не содержатся в сводном реестре организаций оборонно-промышленного комплекса, формируемом в соответствии с </w:t>
      </w:r>
      <w:hyperlink w:history="0" r:id="rId1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sz w:val="20"/>
            <w:color w:val="0000ff"/>
          </w:rPr>
          <w:t xml:space="preserve">частью 2 статьи 21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Федерации";</w:t>
      </w:r>
    </w:p>
    <w:bookmarkStart w:id="26" w:name="P26"/>
    <w:bookmarkEnd w:id="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налогоплательщикам, являющимся субъектами малого и среднего предпринимательства, сведения о которых содержатся в едином реестре субъектов малого и среднего предпринимательства по состоянию на первое число налогового периода, с которого заявлено право на применение инвестиционного налогового вычета, заключившим с Министерством промышленности и торговли Российской Федерации соглашения о реализации корпоративной программы повышения конкурентоспособности в соответствии с </w:t>
      </w:r>
      <w:hyperlink w:history="0" r:id="rId16" w:tooltip="Постановление Правительства РФ от 23.02.2019 N 191 (ред. от 21.12.2023) &quot;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&quot;ВЭБ.РФ&quot; на возмещение части затрат, связанных с поддержкой производства высокотехнологичной продукции&quot; (вместе с &quot;Правилами заключения соглашений о реализации ко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февраля 2019 года N 191 "О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"ВЭБ.РФ" на возмещение части затрат, связанных с поддержкой производства высокотехнологичной продукции";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26.06.2024 N 149-з)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налогоплательщикам - резидентам областных государственных индустриальных парков, включенным в реестр резидентов индустриальных парков, расположенных на территории Смоленской области, и управляющим компаниям областных государственных индустриальных парков, включенных в реестр индустриальных парков, расположенных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применение инвестиционного налогового вычета в отношении расходов налогоплательщика, указанных в </w:t>
      </w:r>
      <w:hyperlink w:history="0" r:id="rId18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подпункте 3 пункта 2 статьи 286.1</w:t>
        </w:r>
      </w:hyperlink>
      <w:r>
        <w:rPr>
          <w:sz w:val="20"/>
        </w:rPr>
        <w:t xml:space="preserve"> Налогового кодекса Российской Федерации, предоставляется налогоплательщикам, перечислившим пожертвования областным государственным и (или) муниципальным учреждениям, осуществляющим деятельность в области культуры, расположенным на территории Смоленской области. Предельная сумма расходов в виде пожертвований, перечисленных областным государственным и муниципальным учреждениям, осуществляющим деятельность в области культуры, расположенным на территории Смоленской области, учитываемая при определении инвестиционного налогового вычета, составляет 10 миллионов рублей за налоговый период.</w:t>
      </w:r>
    </w:p>
    <w:bookmarkStart w:id="30" w:name="P30"/>
    <w:bookmarkEnd w:id="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Право на применение инвестиционного налогового вычета в отношении расходов налогоплательщика, указанных в </w:t>
      </w:r>
      <w:hyperlink w:history="0" r:id="rId19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подпункте 9 пункта 2 статьи 286.1</w:t>
        </w:r>
      </w:hyperlink>
      <w:r>
        <w:rPr>
          <w:sz w:val="20"/>
        </w:rPr>
        <w:t xml:space="preserve"> Налогового кодекса Российской Федерации, предоставляется налогоплательщикам, безвозмездно передавшим имущество (включая денежные средства) областным государственным образовательным организациям, реализующим образовательные программы среднего профессионального образования, имеющие государственную аккредитацию (далее - образовательные организации). Предельная сумма расходов в виде стоимости имущества, безвозмездно переданного образовательным организациям, учитываемая при определении инвестиционного налогового вычета, составляет 50 миллионов рублей за налоговый период.</w:t>
      </w:r>
    </w:p>
    <w:p>
      <w:pPr>
        <w:pStyle w:val="0"/>
        <w:jc w:val="both"/>
      </w:pPr>
      <w:r>
        <w:rPr>
          <w:sz w:val="20"/>
        </w:rPr>
        <w:t xml:space="preserve">(часть 2.1 введена </w:t>
      </w:r>
      <w:hyperlink w:history="0" r:id="rId20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26.06.2024 N 149-з)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Право на применение инвестиционного налогового вычета в отношении расходов налогоплательщика, указанных в </w:t>
      </w:r>
      <w:hyperlink w:history="0" r:id="rId21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подпункте 9 пункта 2 статьи 286.1</w:t>
        </w:r>
      </w:hyperlink>
      <w:r>
        <w:rPr>
          <w:sz w:val="20"/>
        </w:rPr>
        <w:t xml:space="preserve"> Налогового кодекса Российской Федерации, предоставляется при условии, что образовательная организация, которой безвозмездно передано имущество, реализует одну или более образовательных программ среднего профессионального образования по профессиям и специальностям, входящим: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следующие укрупненные группы профессий среднего профессионального образования, указанные в перечне профессий среднего профессионального образования, утвержденном приказом Министерства просвещения Российской Федерации от 17 мая 2022 года N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образования": "Инженерное дело, технологии и технические науки" по кодам укрупненных групп профессий </w:t>
      </w:r>
      <w:hyperlink w:history="0" r:id="rId2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08.00.00</w:t>
        </w:r>
      </w:hyperlink>
      <w:r>
        <w:rPr>
          <w:sz w:val="20"/>
        </w:rPr>
        <w:t xml:space="preserve"> (Техника и технологии строительства), </w:t>
      </w:r>
      <w:hyperlink w:history="0" r:id="rId2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09.00.00</w:t>
        </w:r>
      </w:hyperlink>
      <w:r>
        <w:rPr>
          <w:sz w:val="20"/>
        </w:rPr>
        <w:t xml:space="preserve"> (Информатика и вычислительная техника), </w:t>
      </w:r>
      <w:hyperlink w:history="0" r:id="rId24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11.00.00</w:t>
        </w:r>
      </w:hyperlink>
      <w:r>
        <w:rPr>
          <w:sz w:val="20"/>
        </w:rPr>
        <w:t xml:space="preserve"> (Электроника, радиотехника и системы связи), </w:t>
      </w:r>
      <w:hyperlink w:history="0" r:id="rId2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13.00.00</w:t>
        </w:r>
      </w:hyperlink>
      <w:r>
        <w:rPr>
          <w:sz w:val="20"/>
        </w:rPr>
        <w:t xml:space="preserve"> (Электро- и теплоэнергетика), </w:t>
      </w:r>
      <w:hyperlink w:history="0" r:id="rId26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15.00.00</w:t>
        </w:r>
      </w:hyperlink>
      <w:r>
        <w:rPr>
          <w:sz w:val="20"/>
        </w:rPr>
        <w:t xml:space="preserve"> (Машиностроение), </w:t>
      </w:r>
      <w:hyperlink w:history="0" r:id="rId27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18.00.00</w:t>
        </w:r>
      </w:hyperlink>
      <w:r>
        <w:rPr>
          <w:sz w:val="20"/>
        </w:rPr>
        <w:t xml:space="preserve"> (Химические технологии), </w:t>
      </w:r>
      <w:hyperlink w:history="0" r:id="rId28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23.00.00</w:t>
        </w:r>
      </w:hyperlink>
      <w:r>
        <w:rPr>
          <w:sz w:val="20"/>
        </w:rPr>
        <w:t xml:space="preserve"> (Техника и технологии наземного транспорта), </w:t>
      </w:r>
      <w:hyperlink w:history="0" r:id="rId29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29.00.00</w:t>
        </w:r>
      </w:hyperlink>
      <w:r>
        <w:rPr>
          <w:sz w:val="20"/>
        </w:rPr>
        <w:t xml:space="preserve"> (Технологии легкой промышленности); "Здравоохранение и медицинские науки" по коду укрупненных групп профессий </w:t>
      </w:r>
      <w:hyperlink w:history="0" r:id="rId30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31.00.00</w:t>
        </w:r>
      </w:hyperlink>
      <w:r>
        <w:rPr>
          <w:sz w:val="20"/>
        </w:rPr>
        <w:t xml:space="preserve"> (Клиническая медицина); "Сельское хозяйство и сельскохозяйственные науки" по кодам укрупненных групп профессий </w:t>
      </w:r>
      <w:hyperlink w:history="0" r:id="rId31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35.00.00</w:t>
        </w:r>
      </w:hyperlink>
      <w:r>
        <w:rPr>
          <w:sz w:val="20"/>
        </w:rPr>
        <w:t xml:space="preserve"> (Сельское, лесное и рыбное хозяйство), </w:t>
      </w:r>
      <w:hyperlink w:history="0" r:id="rId3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36.00.00</w:t>
        </w:r>
      </w:hyperlink>
      <w:r>
        <w:rPr>
          <w:sz w:val="20"/>
        </w:rPr>
        <w:t xml:space="preserve"> (Ветеринария и зоотехния);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следующие укрупненные группы специальностей среднего профессионального образования, указанные в перечне специальностей среднего профессионального образования, утвержденном приказом Министерства просвещения Российской Федерации от 17 мая 2022 года N 336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образования": "Инженерное дело, технологии и технические науки" по кодам укрупненных групп специальностей </w:t>
      </w:r>
      <w:hyperlink w:history="0" r:id="rId3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07.00.00</w:t>
        </w:r>
      </w:hyperlink>
      <w:r>
        <w:rPr>
          <w:sz w:val="20"/>
        </w:rPr>
        <w:t xml:space="preserve"> (Архитектура), </w:t>
      </w:r>
      <w:hyperlink w:history="0" r:id="rId34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08.00.00</w:t>
        </w:r>
      </w:hyperlink>
      <w:r>
        <w:rPr>
          <w:sz w:val="20"/>
        </w:rPr>
        <w:t xml:space="preserve"> (Техника и технологии строительства), </w:t>
      </w:r>
      <w:hyperlink w:history="0" r:id="rId3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09.00.00</w:t>
        </w:r>
      </w:hyperlink>
      <w:r>
        <w:rPr>
          <w:sz w:val="20"/>
        </w:rPr>
        <w:t xml:space="preserve"> (Информатика и вычислительная техника), </w:t>
      </w:r>
      <w:hyperlink w:history="0" r:id="rId36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10.00.00</w:t>
        </w:r>
      </w:hyperlink>
      <w:r>
        <w:rPr>
          <w:sz w:val="20"/>
        </w:rPr>
        <w:t xml:space="preserve"> (Информационная безопасность), </w:t>
      </w:r>
      <w:hyperlink w:history="0" r:id="rId37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11.00.00</w:t>
        </w:r>
      </w:hyperlink>
      <w:r>
        <w:rPr>
          <w:sz w:val="20"/>
        </w:rPr>
        <w:t xml:space="preserve"> (Электроника, радиотехника и системы связи), </w:t>
      </w:r>
      <w:hyperlink w:history="0" r:id="rId38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13.00.00</w:t>
        </w:r>
      </w:hyperlink>
      <w:r>
        <w:rPr>
          <w:sz w:val="20"/>
        </w:rPr>
        <w:t xml:space="preserve"> (Электро- и теплоэнергетика), </w:t>
      </w:r>
      <w:hyperlink w:history="0" r:id="rId39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14.00.00</w:t>
        </w:r>
      </w:hyperlink>
      <w:r>
        <w:rPr>
          <w:sz w:val="20"/>
        </w:rPr>
        <w:t xml:space="preserve"> (Ядерная энергетика и технологии), </w:t>
      </w:r>
      <w:hyperlink w:history="0" r:id="rId40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15.00.00</w:t>
        </w:r>
      </w:hyperlink>
      <w:r>
        <w:rPr>
          <w:sz w:val="20"/>
        </w:rPr>
        <w:t xml:space="preserve"> (Машиностроение), </w:t>
      </w:r>
      <w:hyperlink w:history="0" r:id="rId41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18.00.00</w:t>
        </w:r>
      </w:hyperlink>
      <w:r>
        <w:rPr>
          <w:sz w:val="20"/>
        </w:rPr>
        <w:t xml:space="preserve"> (Химические технологии), </w:t>
      </w:r>
      <w:hyperlink w:history="0" r:id="rId42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23.00.00</w:t>
        </w:r>
      </w:hyperlink>
      <w:r>
        <w:rPr>
          <w:sz w:val="20"/>
        </w:rPr>
        <w:t xml:space="preserve"> (Техника и технологии наземного транспорта), </w:t>
      </w:r>
      <w:hyperlink w:history="0" r:id="rId4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29.00.00</w:t>
        </w:r>
      </w:hyperlink>
      <w:r>
        <w:rPr>
          <w:sz w:val="20"/>
        </w:rPr>
        <w:t xml:space="preserve"> (Технологии легкой промышленности); "Здравоохранение и медицинские науки" по кодам укрупненных групп специальностей </w:t>
      </w:r>
      <w:hyperlink w:history="0" r:id="rId44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31.00.00</w:t>
        </w:r>
      </w:hyperlink>
      <w:r>
        <w:rPr>
          <w:sz w:val="20"/>
        </w:rPr>
        <w:t xml:space="preserve"> (Клиническая медицина), </w:t>
      </w:r>
      <w:hyperlink w:history="0" r:id="rId4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33.00.00</w:t>
        </w:r>
      </w:hyperlink>
      <w:r>
        <w:rPr>
          <w:sz w:val="20"/>
        </w:rPr>
        <w:t xml:space="preserve"> (Фармация), </w:t>
      </w:r>
      <w:hyperlink w:history="0" r:id="rId46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34.00.00</w:t>
        </w:r>
      </w:hyperlink>
      <w:r>
        <w:rPr>
          <w:sz w:val="20"/>
        </w:rPr>
        <w:t xml:space="preserve"> (Сестринское дело); "Сельское хозяйство и сельскохозяйственные науки" по кодам укрупненных групп специальностей </w:t>
      </w:r>
      <w:hyperlink w:history="0" r:id="rId47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35.00.00</w:t>
        </w:r>
      </w:hyperlink>
      <w:r>
        <w:rPr>
          <w:sz w:val="20"/>
        </w:rPr>
        <w:t xml:space="preserve"> (Сельское, лесное и рыбное хозяйство), </w:t>
      </w:r>
      <w:hyperlink w:history="0" r:id="rId48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36.00.00</w:t>
        </w:r>
      </w:hyperlink>
      <w:r>
        <w:rPr>
          <w:sz w:val="20"/>
        </w:rPr>
        <w:t xml:space="preserve"> (Ветеринария и зоотехния); "Образование и педагогические науки" по коду укрупненных групп специальностей </w:t>
      </w:r>
      <w:hyperlink w:history="0" r:id="rId49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44.00.00</w:t>
        </w:r>
      </w:hyperlink>
      <w:r>
        <w:rPr>
          <w:sz w:val="20"/>
        </w:rPr>
        <w:t xml:space="preserve"> (Образование и педагогические науки); "Гуманитарные науки" по коду укрупненных групп специальностей </w:t>
      </w:r>
      <w:hyperlink w:history="0" r:id="rId50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49.00.00</w:t>
        </w:r>
      </w:hyperlink>
      <w:r>
        <w:rPr>
          <w:sz w:val="20"/>
        </w:rPr>
        <w:t xml:space="preserve"> (Физическая культура и спорт).</w:t>
      </w:r>
    </w:p>
    <w:p>
      <w:pPr>
        <w:pStyle w:val="0"/>
        <w:jc w:val="both"/>
      </w:pPr>
      <w:r>
        <w:rPr>
          <w:sz w:val="20"/>
        </w:rPr>
        <w:t xml:space="preserve">(часть 2.2 введена </w:t>
      </w:r>
      <w:hyperlink w:history="0" r:id="rId51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26.06.2024 N 149-з)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Размер инвестиционного налогового вычета текущего налогового (отчетного) периода не может превышать предельную величину инвестиционного налогового вычета, определяемую в соответствии с </w:t>
      </w:r>
      <w:hyperlink w:history="0" r:id="rId52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пунктом 2.1 статьи 286.1</w:t>
        </w:r>
      </w:hyperlink>
      <w:r>
        <w:rPr>
          <w:sz w:val="20"/>
        </w:rPr>
        <w:t xml:space="preserve"> Налогового кодекса Российской Федерации, и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налогоплательщиков, указанных в </w:t>
      </w:r>
      <w:hyperlink w:history="0" w:anchor="P25" w:tooltip="1) налогоплательщикам, которые согласно сведениям, содержащимся в Едином государственном реестре юридических лиц, осуществляют основной вид экономической деятельности, указанный в Общероссийском классификаторе видов экономической деятельности, принятом Приказом Федерального агентства по техническому регулированию и метрологии от 31 января 2014 года N 14-ст (далее - ОКВЭД), из числа указанных в приложении к настоящему областному закону видов экономической деятельности, доля выручки от которого составляет ...">
        <w:r>
          <w:rPr>
            <w:sz w:val="20"/>
            <w:color w:val="0000ff"/>
          </w:rPr>
          <w:t xml:space="preserve">пункте 1 части 1</w:t>
        </w:r>
      </w:hyperlink>
      <w:r>
        <w:rPr>
          <w:sz w:val="20"/>
        </w:rPr>
        <w:t xml:space="preserve"> настоящей статьи, - 70 процентов суммы расходов, указанных в </w:t>
      </w:r>
      <w:hyperlink w:history="0" r:id="rId53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54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2 пункта 2 статьи 286.1</w:t>
        </w:r>
      </w:hyperlink>
      <w:r>
        <w:rPr>
          <w:sz w:val="20"/>
        </w:rPr>
        <w:t xml:space="preserve"> Налогового кодекса Российской Федерации, в совокупности;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налогоплательщиков, указанных в </w:t>
      </w:r>
      <w:hyperlink w:history="0" w:anchor="P26" w:tooltip="2) налогоплательщикам, являющимся субъектами малого и среднего предпринимательства, сведения о которых содержатся в едином реестре субъектов малого и среднего предпринимательства по состоянию на первое число налогового периода, с которого заявлено право на применение инвестиционного налогового вычета, заключившим с Министерством промышленности и торговли Российской Федерации соглашения о реализации корпоративной программы повышения конкурентоспособности в соответствии с постановлением Правительства Росси...">
        <w:r>
          <w:rPr>
            <w:sz w:val="20"/>
            <w:color w:val="0000ff"/>
          </w:rPr>
          <w:t xml:space="preserve">пункте 2 части 1</w:t>
        </w:r>
      </w:hyperlink>
      <w:r>
        <w:rPr>
          <w:sz w:val="20"/>
        </w:rPr>
        <w:t xml:space="preserve"> настоящей статьи, - 90 процентов суммы расходов, указанных в </w:t>
      </w:r>
      <w:hyperlink w:history="0" r:id="rId55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56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2 пункта 2 статьи 286.1</w:t>
        </w:r>
      </w:hyperlink>
      <w:r>
        <w:rPr>
          <w:sz w:val="20"/>
        </w:rPr>
        <w:t xml:space="preserve"> Налогового кодекса Российской Федерации, в совокупности;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налогоплательщиков, указанных в </w:t>
      </w:r>
      <w:hyperlink w:history="0" w:anchor="P28" w:tooltip="3) налогоплательщикам - резидентам областных государственных индустриальных парков, включенным в реестр резидентов индустриальных парков, расположенных на территории Смоленской области, и управляющим компаниям областных государственных индустриальных парков, включенных в реестр индустриальных парков, расположенных на территории Смоленской области.">
        <w:r>
          <w:rPr>
            <w:sz w:val="20"/>
            <w:color w:val="0000ff"/>
          </w:rPr>
          <w:t xml:space="preserve">пункте 3 части 1</w:t>
        </w:r>
      </w:hyperlink>
      <w:r>
        <w:rPr>
          <w:sz w:val="20"/>
        </w:rPr>
        <w:t xml:space="preserve"> настоящей статьи, - 90 процентов суммы расходов, указанных в </w:t>
      </w:r>
      <w:hyperlink w:history="0" r:id="rId57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58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2 пункта 2 статьи 286.1</w:t>
        </w:r>
      </w:hyperlink>
      <w:r>
        <w:rPr>
          <w:sz w:val="20"/>
        </w:rPr>
        <w:t xml:space="preserve"> Налогового кодекса Российской Федерации, в совокупности;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для налогоплательщиков, указанных в </w:t>
      </w:r>
      <w:hyperlink w:history="0" w:anchor="P30" w:tooltip="2.1. Право на применение инвестиционного налогового вычета в отношении расходов налогоплательщика, указанных в подпункте 9 пункта 2 статьи 286.1 Налогового кодекса Российской Федерации, предоставляется налогоплательщикам, безвозмездно передавшим имущество (включая денежные средства) областным государственным образовательным организациям, реализующим образовательные программы среднего профессионального образования, имеющие государственную аккредитацию (далее - образовательные организации). Предельная сумм...">
        <w:r>
          <w:rPr>
            <w:sz w:val="20"/>
            <w:color w:val="0000ff"/>
          </w:rPr>
          <w:t xml:space="preserve">части 2.1</w:t>
        </w:r>
      </w:hyperlink>
      <w:r>
        <w:rPr>
          <w:sz w:val="20"/>
        </w:rPr>
        <w:t xml:space="preserve"> настоящей статьи, - 70 процентов суммы расходов, указанных в </w:t>
      </w:r>
      <w:hyperlink w:history="0" r:id="rId59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подпункте 9 пункта 2 статьи 286.1</w:t>
        </w:r>
      </w:hyperlink>
      <w:r>
        <w:rPr>
          <w:sz w:val="20"/>
        </w:rPr>
        <w:t xml:space="preserve"> Налогового кодекса Российской Федерации, в совокупности.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60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26.06.2024 N 149-з)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Налогоплательщики, указанные в </w:t>
      </w:r>
      <w:hyperlink w:history="0" w:anchor="P24" w:tooltip="1. Право на применение инвестиционного налогового вычета в отношении расходов налогоплательщика, указанных в подпунктах 1 и 2 пункта 2 статьи 286.1 Налогового кодекса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Смоленской области, предоставляется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не вправе применять инвестиционный налоговый вычет в отношении расходов, указанных в </w:t>
      </w:r>
      <w:hyperlink w:history="0" r:id="rId61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r:id="rId62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2 пункта 2 статьи 286.1</w:t>
        </w:r>
      </w:hyperlink>
      <w:r>
        <w:rPr>
          <w:sz w:val="20"/>
        </w:rPr>
        <w:t xml:space="preserve"> Налогового кодекса Российской Федерации, применительно к объектам основных средств, указанным в </w:t>
      </w:r>
      <w:hyperlink w:history="0" r:id="rId63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пункте 4 статьи 286.1</w:t>
        </w:r>
      </w:hyperlink>
      <w:r>
        <w:rPr>
          <w:sz w:val="20"/>
        </w:rPr>
        <w:t xml:space="preserve"> Налогового кодекса Российской Федерации, приобретенным за счет субсидий (бюджетных инвестиций), предоставленных из областного бюджета, и (или) с использованием заемных средств, полученных в организациях с долей участия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Для налогоплательщиков, указанных в </w:t>
      </w:r>
      <w:hyperlink w:history="0" w:anchor="P30" w:tooltip="2.1. Право на применение инвестиционного налогового вычета в отношении расходов налогоплательщика, указанных в подпункте 9 пункта 2 статьи 286.1 Налогового кодекса Российской Федерации, предоставляется налогоплательщикам, безвозмездно передавшим имущество (включая денежные средства) областным государственным образовательным организациям, реализующим образовательные программы среднего профессионального образования, имеющие государственную аккредитацию (далее - образовательные организации). Предельная сумм...">
        <w:r>
          <w:rPr>
            <w:sz w:val="20"/>
            <w:color w:val="0000ff"/>
          </w:rPr>
          <w:t xml:space="preserve">части 2.1</w:t>
        </w:r>
      </w:hyperlink>
      <w:r>
        <w:rPr>
          <w:sz w:val="20"/>
        </w:rPr>
        <w:t xml:space="preserve"> настоящей статьи, размер ставки налога на прибыль организаций, подлежащего зачислению в областной бюджет, применяемой для расчета предельной величины инвестиционного налогового вычета, составляет 10 процентов.</w:t>
      </w:r>
    </w:p>
    <w:p>
      <w:pPr>
        <w:pStyle w:val="0"/>
        <w:jc w:val="both"/>
      </w:pPr>
      <w:r>
        <w:rPr>
          <w:sz w:val="20"/>
        </w:rPr>
        <w:t xml:space="preserve">(часть 4.1 введена </w:t>
      </w:r>
      <w:hyperlink w:history="0" r:id="rId64" w:tooltip="Закон Смоленской области от 26.06.2024 N 149-з &quot;О внесении изменений в статью 2 областного закона &quot;Об инвестиционном налоговом вычете по налогу на прибыль организаций на территории Смоленской области&quot; (принят Смоленской областной Думой 26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26.06.2024 N 149-з)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Налогоплательщики, указанные в настоящей статье, реализуют право на применение инвестиционного налогового вычета с учетом положений Налогового </w:t>
      </w:r>
      <w:hyperlink w:history="0" r:id="rId65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областной закон вступает в силу со дня его официального опубликования и распространяет свое действие на правоотношения, возникшие с 1 января 2020 года, за исключением положений, для которых настоящей статьей установлены иные сроки вступления их в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28" w:tooltip="3) налогоплательщикам - резидентам областных государственных индустриальных парков, включенным в реестр резидентов индустриальных парков, расположенных на территории Смоленской области, и управляющим компаниям областных государственных индустриальных парков, включенных в реестр индустриальных парков, расположенных на территории Смоленской области.">
        <w:r>
          <w:rPr>
            <w:sz w:val="20"/>
            <w:color w:val="0000ff"/>
          </w:rPr>
          <w:t xml:space="preserve">Пункт 3 части 1</w:t>
        </w:r>
      </w:hyperlink>
      <w:r>
        <w:rPr>
          <w:sz w:val="20"/>
        </w:rPr>
        <w:t xml:space="preserve">, </w:t>
      </w:r>
      <w:hyperlink w:history="0" w:anchor="P39" w:tooltip="3) для налогоплательщиков, указанных в пункте 3 части 1 настоящей статьи, - 90 процентов суммы расходов, указанных в подпунктах 1 и 2 пункта 2 статьи 286.1 Налогового кодекса Российской Федерации, в совокупности;">
        <w:r>
          <w:rPr>
            <w:sz w:val="20"/>
            <w:color w:val="0000ff"/>
          </w:rPr>
          <w:t xml:space="preserve">пункт 3 части 3 статьи 2</w:t>
        </w:r>
      </w:hyperlink>
      <w:r>
        <w:rPr>
          <w:sz w:val="20"/>
        </w:rPr>
        <w:t xml:space="preserve"> настоящего областного закона вступают в силу с 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областной закон действует по 31 декабря 2027 года включительно.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</w:pPr>
      <w:r>
        <w:rPr>
          <w:sz w:val="20"/>
        </w:rPr>
        <w:t xml:space="preserve">30 апреля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29-з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областному закону</w:t>
      </w:r>
    </w:p>
    <w:p>
      <w:pPr>
        <w:pStyle w:val="0"/>
        <w:jc w:val="right"/>
      </w:pPr>
      <w:r>
        <w:rPr>
          <w:sz w:val="20"/>
        </w:rPr>
        <w:t xml:space="preserve">"Об инвестиционном налоговом вычете</w:t>
      </w:r>
    </w:p>
    <w:p>
      <w:pPr>
        <w:pStyle w:val="0"/>
        <w:jc w:val="right"/>
      </w:pPr>
      <w:r>
        <w:rPr>
          <w:sz w:val="20"/>
        </w:rPr>
        <w:t xml:space="preserve">по налогу на прибыль организаций</w:t>
      </w:r>
    </w:p>
    <w:p>
      <w:pPr>
        <w:pStyle w:val="0"/>
        <w:jc w:val="right"/>
      </w:pPr>
      <w:r>
        <w:rPr>
          <w:sz w:val="20"/>
        </w:rPr>
        <w:t xml:space="preserve">на территории Смоленской области"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ЭКОНОМИЧЕСКОЙ ДЕЯТЕЛЬНОСТИ, ОСУЩЕСТВЛЕНИЕ КОТОРЫХ ДАЕТ</w:t>
      </w:r>
    </w:p>
    <w:p>
      <w:pPr>
        <w:pStyle w:val="2"/>
        <w:jc w:val="center"/>
      </w:pPr>
      <w:r>
        <w:rPr>
          <w:sz w:val="20"/>
        </w:rPr>
        <w:t xml:space="preserve">ПРАВО НА ПРИМЕНЕНИЕ ИНВЕСТИЦИОННОГО НАЛОГОВОГО ВЫЧЕТА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24.09.2020 </w:t>
            </w:r>
            <w:hyperlink w:history="0" r:id="rId66" w:tooltip="Закон Смоленской области от 24.09.2020 N 112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24.09.2020) {КонсультантПлюс}">
              <w:r>
                <w:rPr>
                  <w:sz w:val="20"/>
                  <w:color w:val="0000ff"/>
                </w:rPr>
                <w:t xml:space="preserve">N 112-з</w:t>
              </w:r>
            </w:hyperlink>
            <w:r>
              <w:rPr>
                <w:sz w:val="20"/>
                <w:color w:val="392c69"/>
              </w:rPr>
              <w:t xml:space="preserve">, от 30.06.2022 </w:t>
            </w:r>
            <w:hyperlink w:history="0" r:id="rId67" w:tooltip="Закон Смоленской области от 30.06.2022 N 64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30.06.2022) {КонсультантПлюс}">
              <w:r>
                <w:rPr>
                  <w:sz w:val="20"/>
                  <w:color w:val="0000ff"/>
                </w:rPr>
                <w:t xml:space="preserve">N 64-з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6066"/>
        <w:gridCol w:w="2324"/>
      </w:tblGrid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экономической деятельности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пищевых продуктов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напитков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текстильных изделий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13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одежды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2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14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кожи и изделий из кожи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15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бумаги и бумажных изделий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17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полиграфическая и копирование носителей информации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лекарственных средств и материалов, применяемых в медицинских целях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резиновых и пластмассовых изделий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7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полых стеклянных изделий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23.13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10.1.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23.99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10.1 введен </w:t>
            </w:r>
            <w:hyperlink w:history="0" r:id="rId80" w:tooltip="Закон Смоленской области от 24.09.2020 N 112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24.09.2020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Смоленской области от 24.09.2020 N 112-з)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металлургическое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1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24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готовых металлических изделий, кроме машин и оборудования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2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25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компьютеров, электронных и оптических изделий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26</w:t>
              </w:r>
            </w:hyperlink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(за исключением </w:t>
            </w:r>
            <w:hyperlink w:history="0"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26.30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электрического оборудования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машин и оборудования, не включенных в другие группировки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28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автотранспортных средств, прицепов и полуприцепов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29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мебели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31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гостиниц и прочих мест для временного проживания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55.1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18.1.</w:t>
            </w:r>
          </w:p>
        </w:tc>
        <w:tc>
          <w:tcPr>
            <w:tcW w:w="606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в сфере телекоммуникаций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center"/>
            </w:pPr>
            <w:hyperlink w:history="0"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61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18.1 введен </w:t>
            </w:r>
            <w:hyperlink w:history="0" r:id="rId91" w:tooltip="Закон Смоленской области от 30.06.2022 N 64-з &quot;О внесении изменения в приложение к областному закону &quot;Об инвестиционном налоговом вычете по налогу на прибыль организаций на территории Смоленской области&quot; (принят Смоленской областной Думой 30.06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Смоленской области от 30.06.2022 N 64-з)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62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в области информационных технологий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3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63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трудоустройству и подбору персонала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78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туристических агентств и туроператоров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79.1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85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в области здравоохранения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86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 исключением </w:t>
            </w:r>
            <w:hyperlink w:history="0"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86.23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творческая, деятельность в области искусства и организации развлечений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90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библиотек, архивов, музеев и прочих объектов культуры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91</w:t>
              </w:r>
            </w:hyperlink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06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в области спорта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hyperlink w:history="0"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93.1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30.04.2020 N 29-з</w:t>
            <w:br/>
            <w:t>(ред. от 26.06.2024)</w:t>
            <w:br/>
            <w:t>"Об инвестиционном налоговом вычете по налогу на приб...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15315&amp;dst=100008" TargetMode = "External"/>
	<Relationship Id="rId8" Type="http://schemas.openxmlformats.org/officeDocument/2006/relationships/hyperlink" Target="https://login.consultant.ru/link/?req=doc&amp;base=RLAW376&amp;n=127550&amp;dst=100008" TargetMode = "External"/>
	<Relationship Id="rId9" Type="http://schemas.openxmlformats.org/officeDocument/2006/relationships/hyperlink" Target="https://login.consultant.ru/link/?req=doc&amp;base=RLAW376&amp;n=145790&amp;dst=100008" TargetMode = "External"/>
	<Relationship Id="rId10" Type="http://schemas.openxmlformats.org/officeDocument/2006/relationships/hyperlink" Target="https://login.consultant.ru/link/?req=doc&amp;base=RZR&amp;n=493219&amp;dst=17736" TargetMode = "External"/>
	<Relationship Id="rId11" Type="http://schemas.openxmlformats.org/officeDocument/2006/relationships/hyperlink" Target="https://login.consultant.ru/link/?req=doc&amp;base=RZR&amp;n=493219&amp;dst=17737" TargetMode = "External"/>
	<Relationship Id="rId12" Type="http://schemas.openxmlformats.org/officeDocument/2006/relationships/hyperlink" Target="https://login.consultant.ru/link/?req=doc&amp;base=RZR&amp;n=493219&amp;dst=17738" TargetMode = "External"/>
	<Relationship Id="rId13" Type="http://schemas.openxmlformats.org/officeDocument/2006/relationships/hyperlink" Target="https://login.consultant.ru/link/?req=doc&amp;base=RZR&amp;n=491114" TargetMode = "External"/>
	<Relationship Id="rId14" Type="http://schemas.openxmlformats.org/officeDocument/2006/relationships/hyperlink" Target="https://login.consultant.ru/link/?req=doc&amp;base=RZR&amp;n=309695" TargetMode = "External"/>
	<Relationship Id="rId15" Type="http://schemas.openxmlformats.org/officeDocument/2006/relationships/hyperlink" Target="https://login.consultant.ru/link/?req=doc&amp;base=RZR&amp;n=479337&amp;dst=100211" TargetMode = "External"/>
	<Relationship Id="rId16" Type="http://schemas.openxmlformats.org/officeDocument/2006/relationships/hyperlink" Target="https://login.consultant.ru/link/?req=doc&amp;base=RZR&amp;n=465248" TargetMode = "External"/>
	<Relationship Id="rId17" Type="http://schemas.openxmlformats.org/officeDocument/2006/relationships/hyperlink" Target="https://login.consultant.ru/link/?req=doc&amp;base=RLAW376&amp;n=145790&amp;dst=100009" TargetMode = "External"/>
	<Relationship Id="rId18" Type="http://schemas.openxmlformats.org/officeDocument/2006/relationships/hyperlink" Target="https://login.consultant.ru/link/?req=doc&amp;base=RZR&amp;n=493219&amp;dst=17020" TargetMode = "External"/>
	<Relationship Id="rId19" Type="http://schemas.openxmlformats.org/officeDocument/2006/relationships/hyperlink" Target="https://login.consultant.ru/link/?req=doc&amp;base=RZR&amp;n=493219&amp;dst=23103" TargetMode = "External"/>
	<Relationship Id="rId20" Type="http://schemas.openxmlformats.org/officeDocument/2006/relationships/hyperlink" Target="https://login.consultant.ru/link/?req=doc&amp;base=RLAW376&amp;n=145790&amp;dst=100010" TargetMode = "External"/>
	<Relationship Id="rId21" Type="http://schemas.openxmlformats.org/officeDocument/2006/relationships/hyperlink" Target="https://login.consultant.ru/link/?req=doc&amp;base=RZR&amp;n=493219&amp;dst=23103" TargetMode = "External"/>
	<Relationship Id="rId22" Type="http://schemas.openxmlformats.org/officeDocument/2006/relationships/hyperlink" Target="https://login.consultant.ru/link/?req=doc&amp;base=RZR&amp;n=493177&amp;dst=100584" TargetMode = "External"/>
	<Relationship Id="rId23" Type="http://schemas.openxmlformats.org/officeDocument/2006/relationships/hyperlink" Target="https://login.consultant.ru/link/?req=doc&amp;base=RZR&amp;n=493177&amp;dst=100616" TargetMode = "External"/>
	<Relationship Id="rId24" Type="http://schemas.openxmlformats.org/officeDocument/2006/relationships/hyperlink" Target="https://login.consultant.ru/link/?req=doc&amp;base=RZR&amp;n=493177&amp;dst=100638" TargetMode = "External"/>
	<Relationship Id="rId25" Type="http://schemas.openxmlformats.org/officeDocument/2006/relationships/hyperlink" Target="https://login.consultant.ru/link/?req=doc&amp;base=RZR&amp;n=493177&amp;dst=100693" TargetMode = "External"/>
	<Relationship Id="rId26" Type="http://schemas.openxmlformats.org/officeDocument/2006/relationships/hyperlink" Target="https://login.consultant.ru/link/?req=doc&amp;base=RZR&amp;n=493177&amp;dst=100736" TargetMode = "External"/>
	<Relationship Id="rId27" Type="http://schemas.openxmlformats.org/officeDocument/2006/relationships/hyperlink" Target="https://login.consultant.ru/link/?req=doc&amp;base=RZR&amp;n=493177&amp;dst=100771" TargetMode = "External"/>
	<Relationship Id="rId28" Type="http://schemas.openxmlformats.org/officeDocument/2006/relationships/hyperlink" Target="https://login.consultant.ru/link/?req=doc&amp;base=RZR&amp;n=493177&amp;dst=100913" TargetMode = "External"/>
	<Relationship Id="rId29" Type="http://schemas.openxmlformats.org/officeDocument/2006/relationships/hyperlink" Target="https://login.consultant.ru/link/?req=doc&amp;base=RZR&amp;n=493177&amp;dst=101007" TargetMode = "External"/>
	<Relationship Id="rId30" Type="http://schemas.openxmlformats.org/officeDocument/2006/relationships/hyperlink" Target="https://login.consultant.ru/link/?req=doc&amp;base=RZR&amp;n=493177&amp;dst=101031" TargetMode = "External"/>
	<Relationship Id="rId31" Type="http://schemas.openxmlformats.org/officeDocument/2006/relationships/hyperlink" Target="https://login.consultant.ru/link/?req=doc&amp;base=RZR&amp;n=493177&amp;dst=101070" TargetMode = "External"/>
	<Relationship Id="rId32" Type="http://schemas.openxmlformats.org/officeDocument/2006/relationships/hyperlink" Target="https://login.consultant.ru/link/?req=doc&amp;base=RZR&amp;n=493177&amp;dst=101117" TargetMode = "External"/>
	<Relationship Id="rId33" Type="http://schemas.openxmlformats.org/officeDocument/2006/relationships/hyperlink" Target="https://login.consultant.ru/link/?req=doc&amp;base=RZR&amp;n=493177&amp;dst=100579" TargetMode = "External"/>
	<Relationship Id="rId34" Type="http://schemas.openxmlformats.org/officeDocument/2006/relationships/hyperlink" Target="https://login.consultant.ru/link/?req=doc&amp;base=RZR&amp;n=493177&amp;dst=100584" TargetMode = "External"/>
	<Relationship Id="rId35" Type="http://schemas.openxmlformats.org/officeDocument/2006/relationships/hyperlink" Target="https://login.consultant.ru/link/?req=doc&amp;base=RZR&amp;n=493177&amp;dst=100616" TargetMode = "External"/>
	<Relationship Id="rId36" Type="http://schemas.openxmlformats.org/officeDocument/2006/relationships/hyperlink" Target="https://login.consultant.ru/link/?req=doc&amp;base=RZR&amp;n=493177&amp;dst=100630" TargetMode = "External"/>
	<Relationship Id="rId37" Type="http://schemas.openxmlformats.org/officeDocument/2006/relationships/hyperlink" Target="https://login.consultant.ru/link/?req=doc&amp;base=RZR&amp;n=493177&amp;dst=100638" TargetMode = "External"/>
	<Relationship Id="rId38" Type="http://schemas.openxmlformats.org/officeDocument/2006/relationships/hyperlink" Target="https://login.consultant.ru/link/?req=doc&amp;base=RZR&amp;n=493177&amp;dst=100693" TargetMode = "External"/>
	<Relationship Id="rId39" Type="http://schemas.openxmlformats.org/officeDocument/2006/relationships/hyperlink" Target="https://login.consultant.ru/link/?req=doc&amp;base=RZR&amp;n=493177&amp;dst=100728" TargetMode = "External"/>
	<Relationship Id="rId40" Type="http://schemas.openxmlformats.org/officeDocument/2006/relationships/hyperlink" Target="https://login.consultant.ru/link/?req=doc&amp;base=RZR&amp;n=493177&amp;dst=100736" TargetMode = "External"/>
	<Relationship Id="rId41" Type="http://schemas.openxmlformats.org/officeDocument/2006/relationships/hyperlink" Target="https://login.consultant.ru/link/?req=doc&amp;base=RZR&amp;n=493177&amp;dst=100771" TargetMode = "External"/>
	<Relationship Id="rId42" Type="http://schemas.openxmlformats.org/officeDocument/2006/relationships/hyperlink" Target="https://login.consultant.ru/link/?req=doc&amp;base=RZR&amp;n=493177&amp;dst=100913" TargetMode = "External"/>
	<Relationship Id="rId43" Type="http://schemas.openxmlformats.org/officeDocument/2006/relationships/hyperlink" Target="https://login.consultant.ru/link/?req=doc&amp;base=RZR&amp;n=493177&amp;dst=101007" TargetMode = "External"/>
	<Relationship Id="rId44" Type="http://schemas.openxmlformats.org/officeDocument/2006/relationships/hyperlink" Target="https://login.consultant.ru/link/?req=doc&amp;base=RZR&amp;n=493177&amp;dst=101031" TargetMode = "External"/>
	<Relationship Id="rId45" Type="http://schemas.openxmlformats.org/officeDocument/2006/relationships/hyperlink" Target="https://login.consultant.ru/link/?req=doc&amp;base=RZR&amp;n=493177&amp;dst=101056" TargetMode = "External"/>
	<Relationship Id="rId46" Type="http://schemas.openxmlformats.org/officeDocument/2006/relationships/hyperlink" Target="https://login.consultant.ru/link/?req=doc&amp;base=RZR&amp;n=493177&amp;dst=101061" TargetMode = "External"/>
	<Relationship Id="rId47" Type="http://schemas.openxmlformats.org/officeDocument/2006/relationships/hyperlink" Target="https://login.consultant.ru/link/?req=doc&amp;base=RZR&amp;n=493177&amp;dst=101070" TargetMode = "External"/>
	<Relationship Id="rId48" Type="http://schemas.openxmlformats.org/officeDocument/2006/relationships/hyperlink" Target="https://login.consultant.ru/link/?req=doc&amp;base=RZR&amp;n=493177&amp;dst=101117" TargetMode = "External"/>
	<Relationship Id="rId49" Type="http://schemas.openxmlformats.org/officeDocument/2006/relationships/hyperlink" Target="https://login.consultant.ru/link/?req=doc&amp;base=RZR&amp;n=493177&amp;dst=101197" TargetMode = "External"/>
	<Relationship Id="rId50" Type="http://schemas.openxmlformats.org/officeDocument/2006/relationships/hyperlink" Target="https://login.consultant.ru/link/?req=doc&amp;base=RZR&amp;n=493177&amp;dst=101223" TargetMode = "External"/>
	<Relationship Id="rId51" Type="http://schemas.openxmlformats.org/officeDocument/2006/relationships/hyperlink" Target="https://login.consultant.ru/link/?req=doc&amp;base=RLAW376&amp;n=145790&amp;dst=100012" TargetMode = "External"/>
	<Relationship Id="rId52" Type="http://schemas.openxmlformats.org/officeDocument/2006/relationships/hyperlink" Target="https://login.consultant.ru/link/?req=doc&amp;base=RZR&amp;n=493219&amp;dst=17021" TargetMode = "External"/>
	<Relationship Id="rId53" Type="http://schemas.openxmlformats.org/officeDocument/2006/relationships/hyperlink" Target="https://login.consultant.ru/link/?req=doc&amp;base=RZR&amp;n=493219&amp;dst=17737" TargetMode = "External"/>
	<Relationship Id="rId54" Type="http://schemas.openxmlformats.org/officeDocument/2006/relationships/hyperlink" Target="https://login.consultant.ru/link/?req=doc&amp;base=RZR&amp;n=493219&amp;dst=17738" TargetMode = "External"/>
	<Relationship Id="rId55" Type="http://schemas.openxmlformats.org/officeDocument/2006/relationships/hyperlink" Target="https://login.consultant.ru/link/?req=doc&amp;base=RZR&amp;n=493219&amp;dst=17737" TargetMode = "External"/>
	<Relationship Id="rId56" Type="http://schemas.openxmlformats.org/officeDocument/2006/relationships/hyperlink" Target="https://login.consultant.ru/link/?req=doc&amp;base=RZR&amp;n=493219&amp;dst=17738" TargetMode = "External"/>
	<Relationship Id="rId57" Type="http://schemas.openxmlformats.org/officeDocument/2006/relationships/hyperlink" Target="https://login.consultant.ru/link/?req=doc&amp;base=RZR&amp;n=493219&amp;dst=17737" TargetMode = "External"/>
	<Relationship Id="rId58" Type="http://schemas.openxmlformats.org/officeDocument/2006/relationships/hyperlink" Target="https://login.consultant.ru/link/?req=doc&amp;base=RZR&amp;n=493219&amp;dst=17738" TargetMode = "External"/>
	<Relationship Id="rId59" Type="http://schemas.openxmlformats.org/officeDocument/2006/relationships/hyperlink" Target="https://login.consultant.ru/link/?req=doc&amp;base=RZR&amp;n=493219&amp;dst=23103" TargetMode = "External"/>
	<Relationship Id="rId60" Type="http://schemas.openxmlformats.org/officeDocument/2006/relationships/hyperlink" Target="https://login.consultant.ru/link/?req=doc&amp;base=RLAW376&amp;n=145790&amp;dst=100015" TargetMode = "External"/>
	<Relationship Id="rId61" Type="http://schemas.openxmlformats.org/officeDocument/2006/relationships/hyperlink" Target="https://login.consultant.ru/link/?req=doc&amp;base=RZR&amp;n=493219&amp;dst=17737" TargetMode = "External"/>
	<Relationship Id="rId62" Type="http://schemas.openxmlformats.org/officeDocument/2006/relationships/hyperlink" Target="https://login.consultant.ru/link/?req=doc&amp;base=RZR&amp;n=493219&amp;dst=17738" TargetMode = "External"/>
	<Relationship Id="rId63" Type="http://schemas.openxmlformats.org/officeDocument/2006/relationships/hyperlink" Target="https://login.consultant.ru/link/?req=doc&amp;base=RZR&amp;n=493219&amp;dst=17746" TargetMode = "External"/>
	<Relationship Id="rId64" Type="http://schemas.openxmlformats.org/officeDocument/2006/relationships/hyperlink" Target="https://login.consultant.ru/link/?req=doc&amp;base=RLAW376&amp;n=145790&amp;dst=100017" TargetMode = "External"/>
	<Relationship Id="rId65" Type="http://schemas.openxmlformats.org/officeDocument/2006/relationships/hyperlink" Target="https://login.consultant.ru/link/?req=doc&amp;base=RZR&amp;n=493219" TargetMode = "External"/>
	<Relationship Id="rId66" Type="http://schemas.openxmlformats.org/officeDocument/2006/relationships/hyperlink" Target="https://login.consultant.ru/link/?req=doc&amp;base=RLAW376&amp;n=115315&amp;dst=100008" TargetMode = "External"/>
	<Relationship Id="rId67" Type="http://schemas.openxmlformats.org/officeDocument/2006/relationships/hyperlink" Target="https://login.consultant.ru/link/?req=doc&amp;base=RLAW376&amp;n=127550&amp;dst=100008" TargetMode = "External"/>
	<Relationship Id="rId68" Type="http://schemas.openxmlformats.org/officeDocument/2006/relationships/hyperlink" Target="https://login.consultant.ru/link/?req=doc&amp;base=RZR&amp;n=491114" TargetMode = "External"/>
	<Relationship Id="rId69" Type="http://schemas.openxmlformats.org/officeDocument/2006/relationships/hyperlink" Target="https://login.consultant.ru/link/?req=doc&amp;base=RZR&amp;n=491114&amp;dst=100714" TargetMode = "External"/>
	<Relationship Id="rId70" Type="http://schemas.openxmlformats.org/officeDocument/2006/relationships/hyperlink" Target="https://login.consultant.ru/link/?req=doc&amp;base=RZR&amp;n=491114&amp;dst=101021" TargetMode = "External"/>
	<Relationship Id="rId71" Type="http://schemas.openxmlformats.org/officeDocument/2006/relationships/hyperlink" Target="https://login.consultant.ru/link/?req=doc&amp;base=RZR&amp;n=491114&amp;dst=101065" TargetMode = "External"/>
	<Relationship Id="rId72" Type="http://schemas.openxmlformats.org/officeDocument/2006/relationships/hyperlink" Target="https://login.consultant.ru/link/?req=doc&amp;base=RZR&amp;n=491114&amp;dst=101184" TargetMode = "External"/>
	<Relationship Id="rId73" Type="http://schemas.openxmlformats.org/officeDocument/2006/relationships/hyperlink" Target="https://login.consultant.ru/link/?req=doc&amp;base=RZR&amp;n=491114&amp;dst=101271" TargetMode = "External"/>
	<Relationship Id="rId74" Type="http://schemas.openxmlformats.org/officeDocument/2006/relationships/hyperlink" Target="https://login.consultant.ru/link/?req=doc&amp;base=RZR&amp;n=491114&amp;dst=101387" TargetMode = "External"/>
	<Relationship Id="rId75" Type="http://schemas.openxmlformats.org/officeDocument/2006/relationships/hyperlink" Target="https://login.consultant.ru/link/?req=doc&amp;base=RZR&amp;n=491114&amp;dst=101418" TargetMode = "External"/>
	<Relationship Id="rId76" Type="http://schemas.openxmlformats.org/officeDocument/2006/relationships/hyperlink" Target="https://login.consultant.ru/link/?req=doc&amp;base=RZR&amp;n=491114&amp;dst=101567" TargetMode = "External"/>
	<Relationship Id="rId77" Type="http://schemas.openxmlformats.org/officeDocument/2006/relationships/hyperlink" Target="https://login.consultant.ru/link/?req=doc&amp;base=RZR&amp;n=491114&amp;dst=101582" TargetMode = "External"/>
	<Relationship Id="rId78" Type="http://schemas.openxmlformats.org/officeDocument/2006/relationships/hyperlink" Target="https://login.consultant.ru/link/?req=doc&amp;base=RZR&amp;n=491114&amp;dst=101644" TargetMode = "External"/>
	<Relationship Id="rId79" Type="http://schemas.openxmlformats.org/officeDocument/2006/relationships/hyperlink" Target="https://login.consultant.ru/link/?req=doc&amp;base=RZR&amp;n=491114&amp;dst=101770" TargetMode = "External"/>
	<Relationship Id="rId80" Type="http://schemas.openxmlformats.org/officeDocument/2006/relationships/hyperlink" Target="https://login.consultant.ru/link/?req=doc&amp;base=RLAW376&amp;n=115315&amp;dst=100008" TargetMode = "External"/>
	<Relationship Id="rId81" Type="http://schemas.openxmlformats.org/officeDocument/2006/relationships/hyperlink" Target="https://login.consultant.ru/link/?req=doc&amp;base=RZR&amp;n=491114&amp;dst=101788" TargetMode = "External"/>
	<Relationship Id="rId82" Type="http://schemas.openxmlformats.org/officeDocument/2006/relationships/hyperlink" Target="https://login.consultant.ru/link/?req=doc&amp;base=RZR&amp;n=491114&amp;dst=101887" TargetMode = "External"/>
	<Relationship Id="rId83" Type="http://schemas.openxmlformats.org/officeDocument/2006/relationships/hyperlink" Target="https://login.consultant.ru/link/?req=doc&amp;base=RZR&amp;n=491114&amp;dst=105658" TargetMode = "External"/>
	<Relationship Id="rId84" Type="http://schemas.openxmlformats.org/officeDocument/2006/relationships/hyperlink" Target="https://login.consultant.ru/link/?req=doc&amp;base=RZR&amp;n=491114&amp;dst=102001" TargetMode = "External"/>
	<Relationship Id="rId85" Type="http://schemas.openxmlformats.org/officeDocument/2006/relationships/hyperlink" Target="https://login.consultant.ru/link/?req=doc&amp;base=RZR&amp;n=491114&amp;dst=102127" TargetMode = "External"/>
	<Relationship Id="rId86" Type="http://schemas.openxmlformats.org/officeDocument/2006/relationships/hyperlink" Target="https://login.consultant.ru/link/?req=doc&amp;base=RZR&amp;n=491114&amp;dst=102200" TargetMode = "External"/>
	<Relationship Id="rId87" Type="http://schemas.openxmlformats.org/officeDocument/2006/relationships/hyperlink" Target="https://login.consultant.ru/link/?req=doc&amp;base=RZR&amp;n=491114&amp;dst=102465" TargetMode = "External"/>
	<Relationship Id="rId88" Type="http://schemas.openxmlformats.org/officeDocument/2006/relationships/hyperlink" Target="https://login.consultant.ru/link/?req=doc&amp;base=RZR&amp;n=491114&amp;dst=102609" TargetMode = "External"/>
	<Relationship Id="rId89" Type="http://schemas.openxmlformats.org/officeDocument/2006/relationships/hyperlink" Target="https://login.consultant.ru/link/?req=doc&amp;base=RZR&amp;n=491114&amp;dst=104310" TargetMode = "External"/>
	<Relationship Id="rId90" Type="http://schemas.openxmlformats.org/officeDocument/2006/relationships/hyperlink" Target="https://login.consultant.ru/link/?req=doc&amp;base=RZR&amp;n=491114&amp;dst=104443" TargetMode = "External"/>
	<Relationship Id="rId91" Type="http://schemas.openxmlformats.org/officeDocument/2006/relationships/hyperlink" Target="https://login.consultant.ru/link/?req=doc&amp;base=RLAW376&amp;n=127550&amp;dst=100008" TargetMode = "External"/>
	<Relationship Id="rId92" Type="http://schemas.openxmlformats.org/officeDocument/2006/relationships/hyperlink" Target="https://login.consultant.ru/link/?req=doc&amp;base=RZR&amp;n=491114&amp;dst=104493" TargetMode = "External"/>
	<Relationship Id="rId93" Type="http://schemas.openxmlformats.org/officeDocument/2006/relationships/hyperlink" Target="https://login.consultant.ru/link/?req=doc&amp;base=RZR&amp;n=491114&amp;dst=104526" TargetMode = "External"/>
	<Relationship Id="rId94" Type="http://schemas.openxmlformats.org/officeDocument/2006/relationships/hyperlink" Target="https://login.consultant.ru/link/?req=doc&amp;base=RZR&amp;n=491114&amp;dst=105103" TargetMode = "External"/>
	<Relationship Id="rId95" Type="http://schemas.openxmlformats.org/officeDocument/2006/relationships/hyperlink" Target="https://login.consultant.ru/link/?req=doc&amp;base=RZR&amp;n=491114&amp;dst=105121" TargetMode = "External"/>
	<Relationship Id="rId96" Type="http://schemas.openxmlformats.org/officeDocument/2006/relationships/hyperlink" Target="https://login.consultant.ru/link/?req=doc&amp;base=RZR&amp;n=491114&amp;dst=105329" TargetMode = "External"/>
	<Relationship Id="rId97" Type="http://schemas.openxmlformats.org/officeDocument/2006/relationships/hyperlink" Target="https://login.consultant.ru/link/?req=doc&amp;base=RZR&amp;n=491114&amp;dst=105380" TargetMode = "External"/>
	<Relationship Id="rId98" Type="http://schemas.openxmlformats.org/officeDocument/2006/relationships/hyperlink" Target="https://login.consultant.ru/link/?req=doc&amp;base=RZR&amp;n=491114&amp;dst=105393" TargetMode = "External"/>
	<Relationship Id="rId99" Type="http://schemas.openxmlformats.org/officeDocument/2006/relationships/hyperlink" Target="https://login.consultant.ru/link/?req=doc&amp;base=RZR&amp;n=491114&amp;dst=105444" TargetMode = "External"/>
	<Relationship Id="rId100" Type="http://schemas.openxmlformats.org/officeDocument/2006/relationships/hyperlink" Target="https://login.consultant.ru/link/?req=doc&amp;base=RZR&amp;n=491114&amp;dst=105463" TargetMode = "External"/>
	<Relationship Id="rId101" Type="http://schemas.openxmlformats.org/officeDocument/2006/relationships/hyperlink" Target="https://login.consultant.ru/link/?req=doc&amp;base=RZR&amp;n=491114&amp;dst=1055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30.04.2020 N 29-з
(ред. от 26.06.2024)
"Об инвестиционном налоговом вычете по налогу на прибыль организаций на территории Смоленской области"
(принят Смоленской областной Думой 30.04.2020)</dc:title>
  <dcterms:created xsi:type="dcterms:W3CDTF">2025-01-23T06:41:57Z</dcterms:created>
</cp:coreProperties>
</file>