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72397E" w:rsidP="00B43E6E">
      <w:pPr>
        <w:tabs>
          <w:tab w:val="left" w:pos="1080"/>
        </w:tabs>
        <w:ind w:right="-1"/>
        <w:rPr>
          <w:sz w:val="28"/>
          <w:szCs w:val="28"/>
        </w:rPr>
      </w:pPr>
      <w:r w:rsidRPr="0072397E">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72397E" w:rsidP="00CE2700">
      <w:pPr>
        <w:tabs>
          <w:tab w:val="left" w:pos="1080"/>
        </w:tabs>
        <w:ind w:right="-1"/>
        <w:jc w:val="center"/>
        <w:rPr>
          <w:sz w:val="28"/>
          <w:szCs w:val="28"/>
        </w:rPr>
      </w:pPr>
      <w:r w:rsidRPr="0072397E">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BF19A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Pr="00BF19AC">
        <w:rPr>
          <w:rFonts w:ascii="Times New Roman" w:hAnsi="Times New Roman" w:cs="Times New Roman"/>
          <w:i/>
          <w:sz w:val="28"/>
          <w:szCs w:val="28"/>
          <w:u w:val="single"/>
        </w:rPr>
        <w:t xml:space="preserve"> Администрации Смолен</w:t>
      </w:r>
      <w:r w:rsidR="009E378A">
        <w:rPr>
          <w:rFonts w:ascii="Times New Roman" w:hAnsi="Times New Roman" w:cs="Times New Roman"/>
          <w:i/>
          <w:sz w:val="28"/>
          <w:szCs w:val="28"/>
          <w:u w:val="single"/>
        </w:rPr>
        <w:t>ской области от 29.08.2022 № 609</w:t>
      </w:r>
      <w:r w:rsidRPr="00BF19AC">
        <w:rPr>
          <w:rFonts w:ascii="Times New Roman" w:hAnsi="Times New Roman" w:cs="Times New Roman"/>
          <w:i/>
          <w:sz w:val="28"/>
          <w:szCs w:val="28"/>
          <w:u w:val="single"/>
        </w:rPr>
        <w:t xml:space="preserve"> «Об утверждении Порядка предоставления грантов «Агротуризм» в рамках реализации областной государственной программы «Развитие сельского хозяйства и регулирование рынков сельскохозяйственной продукции в Смоленской области» сельскохозяйственным товаропроизводителям (кроме личных подсобных хозяйств) на финансовое обеспечение затрат, связанных с реализацией проектов развития сельского туризма</w:t>
      </w:r>
      <w:r w:rsidR="00917C6E" w:rsidRPr="00917C6E">
        <w:rPr>
          <w:rFonts w:ascii="Times New Roman" w:hAnsi="Times New Roman" w:cs="Times New Roman"/>
          <w:i/>
          <w:sz w:val="28"/>
          <w:szCs w:val="28"/>
          <w:u w:val="single"/>
        </w:rPr>
        <w:t>»</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917C6E">
      <w:pPr>
        <w:autoSpaceDE w:val="0"/>
        <w:autoSpaceDN w:val="0"/>
        <w:adjustRightInd w:val="0"/>
        <w:jc w:val="both"/>
        <w:rPr>
          <w:sz w:val="28"/>
          <w:szCs w:val="28"/>
        </w:rPr>
      </w:pPr>
    </w:p>
    <w:sectPr w:rsidR="00263A3D" w:rsidRPr="00F9233B" w:rsidSect="00917C6E">
      <w:headerReference w:type="even" r:id="rId9"/>
      <w:headerReference w:type="default" r:id="rId10"/>
      <w:pgSz w:w="11906" w:h="16838"/>
      <w:pgMar w:top="1134" w:right="567" w:bottom="426"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A7" w:rsidRDefault="00DB14A7">
      <w:r>
        <w:separator/>
      </w:r>
    </w:p>
  </w:endnote>
  <w:endnote w:type="continuationSeparator" w:id="1">
    <w:p w:rsidR="00DB14A7" w:rsidRDefault="00DB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A7" w:rsidRDefault="00DB14A7">
      <w:r>
        <w:separator/>
      </w:r>
    </w:p>
  </w:footnote>
  <w:footnote w:type="continuationSeparator" w:id="1">
    <w:p w:rsidR="00DB14A7" w:rsidRDefault="00DB1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9E" w:rsidRDefault="0029489E">
    <w:pPr>
      <w:pStyle w:val="a4"/>
      <w:jc w:val="center"/>
    </w:pPr>
  </w:p>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921D4"/>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0CD4"/>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1C24"/>
    <w:rsid w:val="005C263E"/>
    <w:rsid w:val="005C48A5"/>
    <w:rsid w:val="005C5404"/>
    <w:rsid w:val="005C6B69"/>
    <w:rsid w:val="005D1997"/>
    <w:rsid w:val="005E0EEF"/>
    <w:rsid w:val="005E5B76"/>
    <w:rsid w:val="00602C89"/>
    <w:rsid w:val="00603214"/>
    <w:rsid w:val="00610037"/>
    <w:rsid w:val="00614FBD"/>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145"/>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397E"/>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4306"/>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17C6E"/>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E378A"/>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53F84"/>
    <w:rsid w:val="00A65886"/>
    <w:rsid w:val="00A66892"/>
    <w:rsid w:val="00A71038"/>
    <w:rsid w:val="00A74D89"/>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04467"/>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BF19AC"/>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0947"/>
    <w:rsid w:val="00D33383"/>
    <w:rsid w:val="00D37930"/>
    <w:rsid w:val="00D417C2"/>
    <w:rsid w:val="00D463C6"/>
    <w:rsid w:val="00D541A4"/>
    <w:rsid w:val="00D56EFE"/>
    <w:rsid w:val="00D66AA6"/>
    <w:rsid w:val="00D71B82"/>
    <w:rsid w:val="00D735E3"/>
    <w:rsid w:val="00D97F4C"/>
    <w:rsid w:val="00DA24A4"/>
    <w:rsid w:val="00DA4D07"/>
    <w:rsid w:val="00DB0F40"/>
    <w:rsid w:val="00DB14A7"/>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10</cp:revision>
  <cp:lastPrinted>2021-07-28T07:47:00Z</cp:lastPrinted>
  <dcterms:created xsi:type="dcterms:W3CDTF">2023-03-27T08:22:00Z</dcterms:created>
  <dcterms:modified xsi:type="dcterms:W3CDTF">2023-06-08T07:02:00Z</dcterms:modified>
</cp:coreProperties>
</file>