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5F3E28" w:rsidP="00CE2700">
      <w:pPr>
        <w:tabs>
          <w:tab w:val="left" w:pos="1080"/>
        </w:tabs>
        <w:ind w:right="-1"/>
        <w:jc w:val="center"/>
        <w:rPr>
          <w:sz w:val="28"/>
          <w:szCs w:val="28"/>
        </w:rPr>
      </w:pPr>
      <w:r w:rsidRPr="005F3E28">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E215C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E215C9">
                    <w:rPr>
                      <w:color w:val="000080"/>
                      <w:sz w:val="20"/>
                      <w:szCs w:val="20"/>
                    </w:rPr>
                    <w:t>-</w:t>
                  </w:r>
                  <w:r w:rsidRPr="00F0618C">
                    <w:rPr>
                      <w:color w:val="000080"/>
                      <w:sz w:val="20"/>
                      <w:szCs w:val="20"/>
                      <w:lang w:val="en-US"/>
                    </w:rPr>
                    <w:t>mail</w:t>
                  </w:r>
                  <w:r w:rsidRPr="00E215C9">
                    <w:rPr>
                      <w:color w:val="000080"/>
                      <w:sz w:val="20"/>
                      <w:szCs w:val="20"/>
                    </w:rPr>
                    <w:t>:</w:t>
                  </w:r>
                  <w:r w:rsidR="007611DB" w:rsidRPr="00E215C9">
                    <w:rPr>
                      <w:color w:val="000080"/>
                      <w:sz w:val="20"/>
                      <w:szCs w:val="20"/>
                    </w:rPr>
                    <w:t xml:space="preserve"> </w:t>
                  </w:r>
                  <w:r w:rsidR="00CA243E">
                    <w:rPr>
                      <w:color w:val="000099"/>
                      <w:sz w:val="20"/>
                      <w:szCs w:val="20"/>
                      <w:lang w:val="en-US"/>
                    </w:rPr>
                    <w:t>econ</w:t>
                  </w:r>
                  <w:r w:rsidR="00A71038" w:rsidRPr="00E215C9">
                    <w:rPr>
                      <w:color w:val="000099"/>
                      <w:sz w:val="20"/>
                      <w:szCs w:val="20"/>
                    </w:rPr>
                    <w:t>@</w:t>
                  </w:r>
                  <w:r w:rsidR="00A71038">
                    <w:rPr>
                      <w:color w:val="000099"/>
                      <w:sz w:val="20"/>
                      <w:szCs w:val="20"/>
                      <w:lang w:val="en-US"/>
                    </w:rPr>
                    <w:t>admin</w:t>
                  </w:r>
                  <w:r w:rsidR="00A71038" w:rsidRPr="00E215C9">
                    <w:rPr>
                      <w:color w:val="000099"/>
                      <w:sz w:val="20"/>
                      <w:szCs w:val="20"/>
                    </w:rPr>
                    <w:t>-</w:t>
                  </w:r>
                  <w:r w:rsidR="00A71038">
                    <w:rPr>
                      <w:color w:val="000099"/>
                      <w:sz w:val="20"/>
                      <w:szCs w:val="20"/>
                      <w:lang w:val="en-US"/>
                    </w:rPr>
                    <w:t>smolensk</w:t>
                  </w:r>
                  <w:r w:rsidR="00A71038" w:rsidRPr="00E215C9">
                    <w:rPr>
                      <w:color w:val="000099"/>
                      <w:sz w:val="20"/>
                      <w:szCs w:val="20"/>
                    </w:rPr>
                    <w:t>.</w:t>
                  </w:r>
                  <w:r w:rsidR="00A71038">
                    <w:rPr>
                      <w:color w:val="000099"/>
                      <w:sz w:val="20"/>
                      <w:szCs w:val="20"/>
                      <w:lang w:val="en-US"/>
                    </w:rPr>
                    <w:t>ru</w:t>
                  </w:r>
                  <w:r w:rsidR="00A90137" w:rsidRPr="00E215C9">
                    <w:rPr>
                      <w:color w:val="000080"/>
                      <w:sz w:val="20"/>
                      <w:szCs w:val="20"/>
                    </w:rPr>
                    <w:t xml:space="preserve"> </w:t>
                  </w:r>
                </w:p>
                <w:p w:rsidR="00044E1B" w:rsidRPr="00E215C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E215C9">
                    <w:rPr>
                      <w:bCs/>
                      <w:color w:val="000080"/>
                      <w:sz w:val="20"/>
                      <w:szCs w:val="20"/>
                    </w:rPr>
                    <w:t>://</w:t>
                  </w:r>
                  <w:r w:rsidRPr="000657F8">
                    <w:rPr>
                      <w:bCs/>
                      <w:color w:val="000080"/>
                      <w:sz w:val="20"/>
                      <w:szCs w:val="20"/>
                      <w:lang w:val="en-US"/>
                    </w:rPr>
                    <w:t>econ</w:t>
                  </w:r>
                  <w:r w:rsidRPr="00E215C9">
                    <w:rPr>
                      <w:bCs/>
                      <w:color w:val="000080"/>
                      <w:sz w:val="20"/>
                      <w:szCs w:val="20"/>
                    </w:rPr>
                    <w:t>.</w:t>
                  </w:r>
                  <w:r w:rsidR="00154E98" w:rsidRPr="00CE522B">
                    <w:rPr>
                      <w:color w:val="000080"/>
                      <w:sz w:val="20"/>
                      <w:szCs w:val="20"/>
                      <w:lang w:val="en-US"/>
                    </w:rPr>
                    <w:t>admin</w:t>
                  </w:r>
                  <w:r w:rsidR="00154E98" w:rsidRPr="00E215C9">
                    <w:rPr>
                      <w:color w:val="000080"/>
                      <w:sz w:val="20"/>
                      <w:szCs w:val="20"/>
                    </w:rPr>
                    <w:t>-</w:t>
                  </w:r>
                  <w:r w:rsidR="00154E98" w:rsidRPr="00CE522B">
                    <w:rPr>
                      <w:color w:val="000080"/>
                      <w:sz w:val="20"/>
                      <w:szCs w:val="20"/>
                      <w:lang w:val="en-US"/>
                    </w:rPr>
                    <w:t>smolensk</w:t>
                  </w:r>
                  <w:r w:rsidR="00154E98" w:rsidRPr="00E215C9">
                    <w:rPr>
                      <w:color w:val="000080"/>
                      <w:sz w:val="20"/>
                      <w:szCs w:val="20"/>
                    </w:rPr>
                    <w:t>.</w:t>
                  </w:r>
                  <w:r w:rsidR="00154E98" w:rsidRPr="00CE522B">
                    <w:rPr>
                      <w:color w:val="000080"/>
                      <w:sz w:val="20"/>
                      <w:szCs w:val="20"/>
                      <w:lang w:val="en-US"/>
                    </w:rPr>
                    <w:t>ru</w:t>
                  </w:r>
                </w:p>
                <w:p w:rsidR="00044E1B" w:rsidRPr="00E215C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E215C9" w:rsidRDefault="007C48BA" w:rsidP="007C48BA">
                  <w:pPr>
                    <w:tabs>
                      <w:tab w:val="left" w:pos="4860"/>
                    </w:tabs>
                    <w:spacing w:line="360" w:lineRule="auto"/>
                    <w:ind w:right="26"/>
                    <w:jc w:val="center"/>
                    <w:rPr>
                      <w:color w:val="000080"/>
                      <w:sz w:val="18"/>
                      <w:szCs w:val="18"/>
                    </w:rPr>
                  </w:pPr>
                  <w:r w:rsidRPr="00E215C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5F3E28" w:rsidP="00CE2700">
      <w:pPr>
        <w:tabs>
          <w:tab w:val="left" w:pos="1080"/>
        </w:tabs>
        <w:ind w:right="-1"/>
        <w:jc w:val="center"/>
        <w:rPr>
          <w:sz w:val="28"/>
          <w:szCs w:val="28"/>
        </w:rPr>
      </w:pPr>
      <w:r w:rsidRPr="005F3E28">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7344F4" w:rsidRDefault="007344F4" w:rsidP="007344F4">
      <w:pPr>
        <w:spacing w:line="228" w:lineRule="auto"/>
        <w:jc w:val="both"/>
        <w:rPr>
          <w:b/>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Default="0029489E" w:rsidP="0029489E">
      <w:pPr>
        <w:pStyle w:val="ConsPlusNonformat"/>
        <w:jc w:val="center"/>
        <w:rPr>
          <w:rFonts w:ascii="Times New Roman" w:hAnsi="Times New Roman" w:cs="Times New Roman"/>
          <w:b/>
          <w:sz w:val="28"/>
          <w:szCs w:val="28"/>
        </w:rPr>
      </w:pPr>
    </w:p>
    <w:p w:rsidR="0029489E" w:rsidRPr="0029489E" w:rsidRDefault="0029489E" w:rsidP="0029489E">
      <w:pPr>
        <w:pStyle w:val="ConsPlusNonformat"/>
        <w:jc w:val="center"/>
        <w:rPr>
          <w:rFonts w:ascii="Times New Roman" w:hAnsi="Times New Roman" w:cs="Times New Roman"/>
          <w:b/>
          <w:sz w:val="28"/>
          <w:szCs w:val="28"/>
        </w:rPr>
      </w:pPr>
      <w:r>
        <w:rPr>
          <w:rFonts w:ascii="Times New Roman" w:hAnsi="Times New Roman" w:cs="Times New Roman"/>
          <w:i/>
          <w:sz w:val="28"/>
          <w:szCs w:val="28"/>
          <w:u w:val="single"/>
        </w:rPr>
        <w:t>П</w:t>
      </w:r>
      <w:r w:rsidRPr="0029489E">
        <w:rPr>
          <w:rFonts w:ascii="Times New Roman" w:hAnsi="Times New Roman" w:cs="Times New Roman"/>
          <w:i/>
          <w:sz w:val="28"/>
          <w:szCs w:val="28"/>
          <w:u w:val="single"/>
        </w:rPr>
        <w:t>остановлени</w:t>
      </w:r>
      <w:r w:rsidR="00DB68EF">
        <w:rPr>
          <w:rFonts w:ascii="Times New Roman" w:hAnsi="Times New Roman" w:cs="Times New Roman"/>
          <w:i/>
          <w:sz w:val="28"/>
          <w:szCs w:val="28"/>
          <w:u w:val="single"/>
        </w:rPr>
        <w:t>е</w:t>
      </w:r>
      <w:r w:rsidRPr="0029489E">
        <w:rPr>
          <w:rFonts w:ascii="Times New Roman" w:hAnsi="Times New Roman" w:cs="Times New Roman"/>
          <w:i/>
          <w:sz w:val="28"/>
          <w:szCs w:val="28"/>
          <w:u w:val="single"/>
        </w:rPr>
        <w:t xml:space="preserve"> Администрации Смоленской области от </w:t>
      </w:r>
      <w:r w:rsidR="00DB68EF" w:rsidRPr="00DB68EF">
        <w:rPr>
          <w:rFonts w:ascii="Times New Roman" w:hAnsi="Times New Roman" w:cs="Times New Roman"/>
          <w:i/>
          <w:sz w:val="28"/>
          <w:szCs w:val="28"/>
          <w:u w:val="single"/>
        </w:rPr>
        <w:t xml:space="preserve">23.06.2014 № 446 </w:t>
      </w:r>
      <w:r w:rsidR="00DB68EF">
        <w:rPr>
          <w:rFonts w:ascii="Times New Roman" w:hAnsi="Times New Roman" w:cs="Times New Roman"/>
          <w:i/>
          <w:sz w:val="28"/>
          <w:szCs w:val="28"/>
          <w:u w:val="single"/>
        </w:rPr>
        <w:t>«</w:t>
      </w:r>
      <w:r w:rsidR="00DB68EF" w:rsidRPr="00DB68EF">
        <w:rPr>
          <w:rFonts w:ascii="Times New Roman" w:hAnsi="Times New Roman" w:cs="Times New Roman"/>
          <w:i/>
          <w:sz w:val="28"/>
          <w:szCs w:val="28"/>
          <w:u w:val="single"/>
        </w:rPr>
        <w:t xml:space="preserve">Об утверждении Порядка определения объема и предоставления из областного бюджета субсидий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реализации областной государственной программы </w:t>
      </w:r>
      <w:r w:rsidR="00DB68EF">
        <w:rPr>
          <w:rFonts w:ascii="Times New Roman" w:hAnsi="Times New Roman" w:cs="Times New Roman"/>
          <w:i/>
          <w:sz w:val="28"/>
          <w:szCs w:val="28"/>
          <w:u w:val="single"/>
        </w:rPr>
        <w:t>«</w:t>
      </w:r>
      <w:r w:rsidR="00DB68EF" w:rsidRPr="00DB68EF">
        <w:rPr>
          <w:rFonts w:ascii="Times New Roman" w:hAnsi="Times New Roman" w:cs="Times New Roman"/>
          <w:i/>
          <w:sz w:val="28"/>
          <w:szCs w:val="28"/>
          <w:u w:val="single"/>
        </w:rPr>
        <w:t>Развитие образования в Смоленской области</w:t>
      </w:r>
      <w:r w:rsidR="00DB68EF">
        <w:rPr>
          <w:rFonts w:ascii="Times New Roman" w:hAnsi="Times New Roman" w:cs="Times New Roman"/>
          <w:i/>
          <w:sz w:val="28"/>
          <w:szCs w:val="28"/>
          <w:u w:val="single"/>
        </w:rPr>
        <w:t>»</w:t>
      </w:r>
    </w:p>
    <w:p w:rsidR="006A2286" w:rsidRPr="002B107E" w:rsidRDefault="006A2286" w:rsidP="007344F4">
      <w:pPr>
        <w:tabs>
          <w:tab w:val="left" w:pos="3544"/>
        </w:tabs>
        <w:spacing w:line="228" w:lineRule="auto"/>
        <w:rPr>
          <w:b/>
          <w:sz w:val="28"/>
          <w:szCs w:val="28"/>
        </w:rPr>
      </w:pPr>
    </w:p>
    <w:p w:rsidR="0029489E" w:rsidRPr="00B467EA" w:rsidRDefault="0029489E" w:rsidP="0029489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center"/>
        <w:rPr>
          <w:rFonts w:ascii="Times New Roman" w:hAnsi="Times New Roman" w:cs="Times New Roman"/>
          <w:sz w:val="16"/>
          <w:szCs w:val="16"/>
        </w:rPr>
      </w:pP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67EA" w:rsidRDefault="0029489E" w:rsidP="0029489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p w:rsidR="0029489E" w:rsidRPr="00B467EA" w:rsidRDefault="0029489E" w:rsidP="0029489E">
      <w:pPr>
        <w:pStyle w:val="ConsPlusNormal"/>
        <w:jc w:val="center"/>
        <w:outlineLvl w:val="2"/>
        <w:rPr>
          <w:rFonts w:ascii="Times New Roman"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lastRenderedPageBreak/>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Pr="00215B2D" w:rsidRDefault="0029489E" w:rsidP="0029489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29489E" w:rsidRPr="00215B2D" w:rsidRDefault="0029489E" w:rsidP="0029489E">
      <w:pPr>
        <w:autoSpaceDE w:val="0"/>
        <w:autoSpaceDN w:val="0"/>
        <w:adjustRightInd w:val="0"/>
        <w:ind w:left="181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29489E" w:rsidRPr="000F5CD0" w:rsidRDefault="0029489E" w:rsidP="0029489E">
      <w:pPr>
        <w:autoSpaceDE w:val="0"/>
        <w:autoSpaceDN w:val="0"/>
        <w:adjustRightInd w:val="0"/>
        <w:ind w:firstLine="709"/>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w:t>
      </w:r>
      <w:proofErr w:type="spellStart"/>
      <w:r w:rsidRPr="00C668C1">
        <w:rPr>
          <w:rFonts w:ascii="Times New Roman" w:hAnsi="Times New Roman" w:cs="Times New Roman"/>
          <w:sz w:val="28"/>
          <w:szCs w:val="28"/>
        </w:rPr>
        <w:t>недискриминационным</w:t>
      </w:r>
      <w:proofErr w:type="spellEnd"/>
      <w:r w:rsidRPr="00C668C1">
        <w:rPr>
          <w:rFonts w:ascii="Times New Roman" w:hAnsi="Times New Roman" w:cs="Times New Roman"/>
          <w:sz w:val="28"/>
          <w:szCs w:val="28"/>
        </w:rPr>
        <w:t xml:space="preserve">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Default="0029489E" w:rsidP="0029489E">
      <w:pPr>
        <w:autoSpaceDE w:val="0"/>
        <w:autoSpaceDN w:val="0"/>
        <w:adjustRightInd w:val="0"/>
        <w:ind w:firstLine="709"/>
        <w:rPr>
          <w:szCs w:val="28"/>
        </w:rPr>
      </w:pPr>
    </w:p>
    <w:p w:rsidR="00263A3D" w:rsidRPr="00F9233B" w:rsidRDefault="00263A3D" w:rsidP="0029489E">
      <w:pPr>
        <w:autoSpaceDE w:val="0"/>
        <w:autoSpaceDN w:val="0"/>
        <w:adjustRightInd w:val="0"/>
        <w:jc w:val="both"/>
        <w:rPr>
          <w:sz w:val="28"/>
          <w:szCs w:val="28"/>
        </w:rPr>
      </w:pPr>
    </w:p>
    <w:sectPr w:rsidR="00263A3D" w:rsidRPr="00F9233B" w:rsidSect="00DB68EF">
      <w:headerReference w:type="default" r:id="rId9"/>
      <w:pgSz w:w="11906" w:h="16838"/>
      <w:pgMar w:top="1134" w:right="567" w:bottom="1843"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7A" w:rsidRDefault="00CD617A">
      <w:r>
        <w:separator/>
      </w:r>
    </w:p>
  </w:endnote>
  <w:endnote w:type="continuationSeparator" w:id="0">
    <w:p w:rsidR="00CD617A" w:rsidRDefault="00CD6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7A" w:rsidRDefault="00CD617A">
      <w:r>
        <w:separator/>
      </w:r>
    </w:p>
  </w:footnote>
  <w:footnote w:type="continuationSeparator" w:id="0">
    <w:p w:rsidR="00CD617A" w:rsidRDefault="00CD6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29489E">
        <w:pPr>
          <w:pStyle w:val="a4"/>
          <w:jc w:val="center"/>
        </w:pPr>
        <w:r>
          <w:t>2</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5A1C"/>
    <w:rsid w:val="00287661"/>
    <w:rsid w:val="0029489E"/>
    <w:rsid w:val="002969E4"/>
    <w:rsid w:val="00296EE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304552"/>
    <w:rsid w:val="003175DF"/>
    <w:rsid w:val="003210B3"/>
    <w:rsid w:val="00341960"/>
    <w:rsid w:val="00342E1E"/>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1F19"/>
    <w:rsid w:val="005A537D"/>
    <w:rsid w:val="005A6875"/>
    <w:rsid w:val="005B0041"/>
    <w:rsid w:val="005B0C93"/>
    <w:rsid w:val="005C0E78"/>
    <w:rsid w:val="005C263E"/>
    <w:rsid w:val="005C48A5"/>
    <w:rsid w:val="005C5404"/>
    <w:rsid w:val="005C6B69"/>
    <w:rsid w:val="005D1997"/>
    <w:rsid w:val="005E0EEF"/>
    <w:rsid w:val="005E5B76"/>
    <w:rsid w:val="005F3E28"/>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724D2"/>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45857"/>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B38"/>
    <w:rsid w:val="00A4267C"/>
    <w:rsid w:val="00A444A9"/>
    <w:rsid w:val="00A46927"/>
    <w:rsid w:val="00A47796"/>
    <w:rsid w:val="00A5124D"/>
    <w:rsid w:val="00A52F0F"/>
    <w:rsid w:val="00A65340"/>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B12814"/>
    <w:rsid w:val="00B4389B"/>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617A"/>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68EF"/>
    <w:rsid w:val="00DB7F91"/>
    <w:rsid w:val="00DD4760"/>
    <w:rsid w:val="00DD4900"/>
    <w:rsid w:val="00DD4B21"/>
    <w:rsid w:val="00DE12A1"/>
    <w:rsid w:val="00DF7AA1"/>
    <w:rsid w:val="00E10A4E"/>
    <w:rsid w:val="00E137CD"/>
    <w:rsid w:val="00E163AE"/>
    <w:rsid w:val="00E215C9"/>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8B887-9972-4E02-A963-DE0ED579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Барковская</cp:lastModifiedBy>
  <cp:revision>7</cp:revision>
  <cp:lastPrinted>2021-07-28T07:47:00Z</cp:lastPrinted>
  <dcterms:created xsi:type="dcterms:W3CDTF">2023-02-15T13:19:00Z</dcterms:created>
  <dcterms:modified xsi:type="dcterms:W3CDTF">2023-03-14T09:33:00Z</dcterms:modified>
</cp:coreProperties>
</file>