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072506" w:rsidP="00B43E6E">
      <w:pPr>
        <w:tabs>
          <w:tab w:val="left" w:pos="1080"/>
        </w:tabs>
        <w:ind w:right="-1"/>
        <w:rPr>
          <w:sz w:val="28"/>
          <w:szCs w:val="28"/>
        </w:rPr>
      </w:pPr>
      <w:r w:rsidRPr="00072506">
        <w:rPr>
          <w:noProof/>
        </w:rPr>
        <w:pict>
          <v:shapetype id="_x0000_t202" coordsize="21600,21600" o:spt="202" path="m,l,21600r21600,l21600,xe">
            <v:stroke joinstyle="miter"/>
            <v:path gradientshapeok="t" o:connecttype="rect"/>
          </v:shapetype>
          <v:shape id="Надпись 2"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D859DD" w:rsidRDefault="00427072" w:rsidP="00044E1B">
                  <w:pPr>
                    <w:tabs>
                      <w:tab w:val="left" w:pos="4962"/>
                    </w:tabs>
                    <w:overflowPunct w:val="0"/>
                    <w:autoSpaceDE w:val="0"/>
                    <w:autoSpaceDN w:val="0"/>
                    <w:adjustRightInd w:val="0"/>
                    <w:ind w:right="-1"/>
                    <w:jc w:val="center"/>
                    <w:textAlignment w:val="baseline"/>
                    <w:rPr>
                      <w:color w:val="000080"/>
                      <w:sz w:val="20"/>
                      <w:szCs w:val="20"/>
                      <w:lang w:val="en-US"/>
                    </w:rPr>
                  </w:pPr>
                  <w:r w:rsidRPr="00F0618C">
                    <w:rPr>
                      <w:color w:val="000080"/>
                      <w:sz w:val="20"/>
                      <w:szCs w:val="20"/>
                      <w:lang w:val="en-US"/>
                    </w:rPr>
                    <w:t>e</w:t>
                  </w:r>
                  <w:r w:rsidRPr="00D859DD">
                    <w:rPr>
                      <w:color w:val="000080"/>
                      <w:sz w:val="20"/>
                      <w:szCs w:val="20"/>
                      <w:lang w:val="en-US"/>
                    </w:rPr>
                    <w:t>-</w:t>
                  </w:r>
                  <w:r w:rsidRPr="00F0618C">
                    <w:rPr>
                      <w:color w:val="000080"/>
                      <w:sz w:val="20"/>
                      <w:szCs w:val="20"/>
                      <w:lang w:val="en-US"/>
                    </w:rPr>
                    <w:t>mail</w:t>
                  </w:r>
                  <w:r w:rsidRPr="00D859DD">
                    <w:rPr>
                      <w:color w:val="000080"/>
                      <w:sz w:val="20"/>
                      <w:szCs w:val="20"/>
                      <w:lang w:val="en-US"/>
                    </w:rPr>
                    <w:t>:</w:t>
                  </w:r>
                  <w:r w:rsidR="00CA243E">
                    <w:rPr>
                      <w:color w:val="000099"/>
                      <w:sz w:val="20"/>
                      <w:szCs w:val="20"/>
                      <w:lang w:val="en-US"/>
                    </w:rPr>
                    <w:t>econ</w:t>
                  </w:r>
                  <w:r w:rsidR="00A71038" w:rsidRPr="00D859DD">
                    <w:rPr>
                      <w:color w:val="000099"/>
                      <w:sz w:val="20"/>
                      <w:szCs w:val="20"/>
                      <w:lang w:val="en-US"/>
                    </w:rPr>
                    <w:t>@</w:t>
                  </w:r>
                  <w:r w:rsidR="00A71038">
                    <w:rPr>
                      <w:color w:val="000099"/>
                      <w:sz w:val="20"/>
                      <w:szCs w:val="20"/>
                      <w:lang w:val="en-US"/>
                    </w:rPr>
                    <w:t>admin</w:t>
                  </w:r>
                  <w:r w:rsidR="00A71038" w:rsidRPr="00D859DD">
                    <w:rPr>
                      <w:color w:val="000099"/>
                      <w:sz w:val="20"/>
                      <w:szCs w:val="20"/>
                      <w:lang w:val="en-US"/>
                    </w:rPr>
                    <w:t>-</w:t>
                  </w:r>
                  <w:r w:rsidR="00A71038">
                    <w:rPr>
                      <w:color w:val="000099"/>
                      <w:sz w:val="20"/>
                      <w:szCs w:val="20"/>
                      <w:lang w:val="en-US"/>
                    </w:rPr>
                    <w:t>smolensk</w:t>
                  </w:r>
                  <w:r w:rsidR="00A71038" w:rsidRPr="00D859DD">
                    <w:rPr>
                      <w:color w:val="000099"/>
                      <w:sz w:val="20"/>
                      <w:szCs w:val="20"/>
                      <w:lang w:val="en-US"/>
                    </w:rPr>
                    <w:t>.</w:t>
                  </w:r>
                  <w:r w:rsidR="00A71038">
                    <w:rPr>
                      <w:color w:val="000099"/>
                      <w:sz w:val="20"/>
                      <w:szCs w:val="20"/>
                      <w:lang w:val="en-US"/>
                    </w:rPr>
                    <w:t>ru</w:t>
                  </w:r>
                </w:p>
                <w:p w:rsidR="00044E1B" w:rsidRPr="00D859DD" w:rsidRDefault="00CA243E" w:rsidP="00044E1B">
                  <w:pPr>
                    <w:tabs>
                      <w:tab w:val="left" w:pos="4962"/>
                    </w:tabs>
                    <w:overflowPunct w:val="0"/>
                    <w:autoSpaceDE w:val="0"/>
                    <w:autoSpaceDN w:val="0"/>
                    <w:adjustRightInd w:val="0"/>
                    <w:ind w:right="-1"/>
                    <w:jc w:val="center"/>
                    <w:textAlignment w:val="baseline"/>
                    <w:rPr>
                      <w:color w:val="000080"/>
                      <w:sz w:val="20"/>
                      <w:szCs w:val="20"/>
                      <w:lang w:val="en-US"/>
                    </w:rPr>
                  </w:pPr>
                  <w:r w:rsidRPr="000657F8">
                    <w:rPr>
                      <w:bCs/>
                      <w:color w:val="000080"/>
                      <w:sz w:val="20"/>
                      <w:szCs w:val="20"/>
                      <w:lang w:val="en-US"/>
                    </w:rPr>
                    <w:t>https</w:t>
                  </w:r>
                  <w:r w:rsidRPr="00D859DD">
                    <w:rPr>
                      <w:bCs/>
                      <w:color w:val="000080"/>
                      <w:sz w:val="20"/>
                      <w:szCs w:val="20"/>
                      <w:lang w:val="en-US"/>
                    </w:rPr>
                    <w:t>://</w:t>
                  </w:r>
                  <w:r w:rsidRPr="000657F8">
                    <w:rPr>
                      <w:bCs/>
                      <w:color w:val="000080"/>
                      <w:sz w:val="20"/>
                      <w:szCs w:val="20"/>
                      <w:lang w:val="en-US"/>
                    </w:rPr>
                    <w:t>econ</w:t>
                  </w:r>
                  <w:r w:rsidRPr="00D859DD">
                    <w:rPr>
                      <w:bCs/>
                      <w:color w:val="000080"/>
                      <w:sz w:val="20"/>
                      <w:szCs w:val="20"/>
                      <w:lang w:val="en-US"/>
                    </w:rPr>
                    <w:t>.</w:t>
                  </w:r>
                  <w:r w:rsidR="00154E98" w:rsidRPr="00CE522B">
                    <w:rPr>
                      <w:color w:val="000080"/>
                      <w:sz w:val="20"/>
                      <w:szCs w:val="20"/>
                      <w:lang w:val="en-US"/>
                    </w:rPr>
                    <w:t>admin</w:t>
                  </w:r>
                  <w:r w:rsidR="00154E98" w:rsidRPr="00D859DD">
                    <w:rPr>
                      <w:color w:val="000080"/>
                      <w:sz w:val="20"/>
                      <w:szCs w:val="20"/>
                      <w:lang w:val="en-US"/>
                    </w:rPr>
                    <w:t>-</w:t>
                  </w:r>
                  <w:r w:rsidR="00154E98" w:rsidRPr="00CE522B">
                    <w:rPr>
                      <w:color w:val="000080"/>
                      <w:sz w:val="20"/>
                      <w:szCs w:val="20"/>
                      <w:lang w:val="en-US"/>
                    </w:rPr>
                    <w:t>smolensk</w:t>
                  </w:r>
                  <w:r w:rsidR="00154E98" w:rsidRPr="00D859DD">
                    <w:rPr>
                      <w:color w:val="000080"/>
                      <w:sz w:val="20"/>
                      <w:szCs w:val="20"/>
                      <w:lang w:val="en-US"/>
                    </w:rPr>
                    <w:t>.</w:t>
                  </w:r>
                  <w:r w:rsidR="00154E98" w:rsidRPr="00CE522B">
                    <w:rPr>
                      <w:color w:val="000080"/>
                      <w:sz w:val="20"/>
                      <w:szCs w:val="20"/>
                      <w:lang w:val="en-US"/>
                    </w:rPr>
                    <w:t>ru</w:t>
                  </w:r>
                </w:p>
                <w:p w:rsidR="00044E1B" w:rsidRPr="00D859DD" w:rsidRDefault="00044E1B" w:rsidP="00044E1B">
                  <w:pPr>
                    <w:tabs>
                      <w:tab w:val="left" w:pos="4962"/>
                    </w:tabs>
                    <w:overflowPunct w:val="0"/>
                    <w:autoSpaceDE w:val="0"/>
                    <w:autoSpaceDN w:val="0"/>
                    <w:adjustRightInd w:val="0"/>
                    <w:ind w:right="-1"/>
                    <w:jc w:val="center"/>
                    <w:textAlignment w:val="baseline"/>
                    <w:rPr>
                      <w:color w:val="000080"/>
                      <w:sz w:val="12"/>
                      <w:szCs w:val="12"/>
                      <w:lang w:val="en-US"/>
                    </w:rPr>
                  </w:pPr>
                </w:p>
                <w:p w:rsidR="007C48BA" w:rsidRPr="00D859DD" w:rsidRDefault="007C48BA" w:rsidP="007C48BA">
                  <w:pPr>
                    <w:tabs>
                      <w:tab w:val="left" w:pos="4860"/>
                    </w:tabs>
                    <w:spacing w:line="360" w:lineRule="auto"/>
                    <w:ind w:right="26"/>
                    <w:jc w:val="center"/>
                    <w:rPr>
                      <w:color w:val="000080"/>
                      <w:sz w:val="18"/>
                      <w:szCs w:val="18"/>
                      <w:lang w:val="en-US"/>
                    </w:rPr>
                  </w:pPr>
                  <w:r w:rsidRPr="00D859DD">
                    <w:rPr>
                      <w:color w:val="000080"/>
                      <w:sz w:val="18"/>
                      <w:szCs w:val="18"/>
                      <w:lang w:val="en-US"/>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072506" w:rsidP="00CE2700">
      <w:pPr>
        <w:tabs>
          <w:tab w:val="left" w:pos="1080"/>
        </w:tabs>
        <w:ind w:right="-1"/>
        <w:jc w:val="center"/>
        <w:rPr>
          <w:sz w:val="28"/>
          <w:szCs w:val="28"/>
        </w:rPr>
      </w:pPr>
      <w:r w:rsidRPr="00072506">
        <w:rPr>
          <w:noProof/>
        </w:rPr>
        <w:pict>
          <v:shape id="Надпись 1"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29489E" w:rsidRDefault="0029489E" w:rsidP="0029489E">
      <w:pPr>
        <w:pStyle w:val="ConsPlusNonformat"/>
        <w:jc w:val="center"/>
        <w:rPr>
          <w:rFonts w:ascii="Times New Roman" w:hAnsi="Times New Roman" w:cs="Times New Roman"/>
          <w:b/>
          <w:sz w:val="28"/>
          <w:szCs w:val="28"/>
        </w:rPr>
      </w:pPr>
      <w:r>
        <w:rPr>
          <w:rFonts w:ascii="Times New Roman" w:hAnsi="Times New Roman" w:cs="Times New Roman"/>
          <w:i/>
          <w:sz w:val="28"/>
          <w:szCs w:val="28"/>
          <w:u w:val="single"/>
        </w:rPr>
        <w:t>П</w:t>
      </w:r>
      <w:r w:rsidRPr="0029489E">
        <w:rPr>
          <w:rFonts w:ascii="Times New Roman" w:hAnsi="Times New Roman" w:cs="Times New Roman"/>
          <w:i/>
          <w:sz w:val="28"/>
          <w:szCs w:val="28"/>
          <w:u w:val="single"/>
        </w:rPr>
        <w:t xml:space="preserve">остановления Администрации Смоленской области от 03.06.2016 № 308 «Об утверждении </w:t>
      </w:r>
      <w:r w:rsidRPr="0029489E">
        <w:rPr>
          <w:rFonts w:ascii="Times New Roman" w:hAnsi="Times New Roman" w:cs="Times New Roman"/>
          <w:i/>
          <w:iCs/>
          <w:color w:val="000000" w:themeColor="text1"/>
          <w:sz w:val="28"/>
          <w:szCs w:val="28"/>
          <w:u w:val="single"/>
        </w:rPr>
        <w:t>Порядка предоставления субсидии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 в рамках реализации областной государственной программы «Социальная поддержка граждан, проживающих на территории Смоленской области»</w:t>
      </w:r>
    </w:p>
    <w:p w:rsidR="006A2286" w:rsidRPr="002B107E"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D859DD" w:rsidRDefault="00D859DD" w:rsidP="00D859DD">
      <w:pPr>
        <w:pStyle w:val="ConsPlusCell"/>
        <w:ind w:right="-55"/>
        <w:jc w:val="both"/>
        <w:rPr>
          <w:rFonts w:ascii="Times New Roman" w:hAnsi="Times New Roman" w:cs="Times New Roman"/>
          <w:sz w:val="28"/>
          <w:szCs w:val="28"/>
        </w:rPr>
      </w:pPr>
      <w:r w:rsidRPr="00C668C1">
        <w:rPr>
          <w:rFonts w:ascii="Times New Roman" w:hAnsi="Times New Roman" w:cs="Times New Roman"/>
          <w:sz w:val="28"/>
          <w:szCs w:val="28"/>
        </w:rPr>
        <w:t>Наименование участника:</w:t>
      </w:r>
      <w:r w:rsidRPr="00771FD5">
        <w:rPr>
          <w:rFonts w:ascii="Times New Roman" w:hAnsi="Times New Roman" w:cs="Times New Roman"/>
          <w:sz w:val="28"/>
          <w:szCs w:val="28"/>
        </w:rPr>
        <w:t>Смоленское региональное объединение работодателей «Научно-промышленный союз</w:t>
      </w:r>
      <w:r>
        <w:rPr>
          <w:rFonts w:ascii="Times New Roman" w:hAnsi="Times New Roman" w:cs="Times New Roman"/>
          <w:sz w:val="28"/>
          <w:szCs w:val="28"/>
        </w:rPr>
        <w:t>»</w:t>
      </w:r>
    </w:p>
    <w:p w:rsidR="00D859DD" w:rsidRPr="00C668C1" w:rsidRDefault="00D859DD" w:rsidP="00D859DD">
      <w:pPr>
        <w:pStyle w:val="ConsPlusCell"/>
        <w:ind w:right="-55"/>
        <w:jc w:val="both"/>
        <w:rPr>
          <w:rFonts w:ascii="Times New Roman" w:hAnsi="Times New Roman" w:cs="Times New Roman"/>
          <w:sz w:val="28"/>
          <w:szCs w:val="28"/>
        </w:rPr>
      </w:pPr>
    </w:p>
    <w:p w:rsidR="00D859DD" w:rsidRDefault="00D859DD" w:rsidP="00D859DD">
      <w:pPr>
        <w:pStyle w:val="ConsPlusCell"/>
        <w:ind w:right="-55"/>
        <w:rPr>
          <w:rFonts w:ascii="Times New Roman" w:hAnsi="Times New Roman" w:cs="Times New Roman"/>
          <w:sz w:val="28"/>
          <w:szCs w:val="28"/>
        </w:rPr>
      </w:pPr>
      <w:r w:rsidRPr="00C668C1">
        <w:rPr>
          <w:rFonts w:ascii="Times New Roman" w:hAnsi="Times New Roman" w:cs="Times New Roman"/>
          <w:sz w:val="28"/>
          <w:szCs w:val="28"/>
        </w:rPr>
        <w:t>Сфера деятельности участника</w:t>
      </w:r>
      <w:r>
        <w:rPr>
          <w:rFonts w:ascii="Times New Roman" w:hAnsi="Times New Roman" w:cs="Times New Roman"/>
          <w:sz w:val="28"/>
          <w:szCs w:val="28"/>
        </w:rPr>
        <w:t>:Некоммерческая организация</w:t>
      </w:r>
    </w:p>
    <w:p w:rsidR="00D859DD" w:rsidRDefault="00D859DD" w:rsidP="00D859DD">
      <w:pPr>
        <w:pStyle w:val="ConsPlusCell"/>
        <w:ind w:right="-55"/>
        <w:rPr>
          <w:rFonts w:ascii="Times New Roman" w:hAnsi="Times New Roman" w:cs="Times New Roman"/>
          <w:sz w:val="28"/>
          <w:szCs w:val="28"/>
        </w:rPr>
      </w:pPr>
    </w:p>
    <w:p w:rsidR="00D859DD" w:rsidRDefault="00D859DD" w:rsidP="00D859DD">
      <w:pPr>
        <w:pStyle w:val="ConsPlusCell"/>
        <w:ind w:right="-55"/>
        <w:rPr>
          <w:rFonts w:ascii="Times New Roman" w:hAnsi="Times New Roman" w:cs="Times New Roman"/>
          <w:sz w:val="28"/>
          <w:szCs w:val="28"/>
        </w:rPr>
      </w:pPr>
      <w:r w:rsidRPr="00C668C1">
        <w:rPr>
          <w:rFonts w:ascii="Times New Roman" w:hAnsi="Times New Roman" w:cs="Times New Roman"/>
          <w:sz w:val="28"/>
          <w:szCs w:val="28"/>
        </w:rPr>
        <w:t>Ф.И.О. контактного лица:</w:t>
      </w:r>
      <w:r>
        <w:rPr>
          <w:rFonts w:ascii="Times New Roman" w:hAnsi="Times New Roman" w:cs="Times New Roman"/>
          <w:sz w:val="28"/>
          <w:szCs w:val="28"/>
        </w:rPr>
        <w:t>Титов Игорь Евгеньевич</w:t>
      </w:r>
    </w:p>
    <w:p w:rsidR="00D859DD" w:rsidRPr="00C668C1" w:rsidRDefault="00D859DD" w:rsidP="00D859DD">
      <w:pPr>
        <w:pStyle w:val="ConsPlusCell"/>
        <w:ind w:right="-55"/>
        <w:rPr>
          <w:rFonts w:ascii="Times New Roman" w:hAnsi="Times New Roman" w:cs="Times New Roman"/>
          <w:sz w:val="28"/>
          <w:szCs w:val="28"/>
        </w:rPr>
      </w:pPr>
    </w:p>
    <w:p w:rsidR="00D859DD" w:rsidRDefault="00D859DD" w:rsidP="00D859DD">
      <w:pPr>
        <w:pStyle w:val="ConsPlusCell"/>
        <w:ind w:right="-55"/>
        <w:rPr>
          <w:rFonts w:ascii="Times New Roman" w:hAnsi="Times New Roman" w:cs="Times New Roman"/>
          <w:sz w:val="28"/>
          <w:szCs w:val="28"/>
        </w:rPr>
      </w:pPr>
      <w:r w:rsidRPr="00C668C1">
        <w:rPr>
          <w:rFonts w:ascii="Times New Roman" w:hAnsi="Times New Roman" w:cs="Times New Roman"/>
          <w:sz w:val="28"/>
          <w:szCs w:val="28"/>
        </w:rPr>
        <w:t>Номер контактного телефона:</w:t>
      </w:r>
      <w:r w:rsidRPr="00D859DD">
        <w:rPr>
          <w:rFonts w:ascii="Times New Roman" w:hAnsi="Times New Roman" w:cs="Times New Roman"/>
          <w:sz w:val="28"/>
          <w:szCs w:val="28"/>
        </w:rPr>
        <w:t>8 (481</w:t>
      </w:r>
      <w:r>
        <w:rPr>
          <w:rFonts w:ascii="Times New Roman" w:hAnsi="Times New Roman" w:cs="Times New Roman"/>
          <w:sz w:val="28"/>
          <w:szCs w:val="28"/>
        </w:rPr>
        <w:t>2</w:t>
      </w:r>
      <w:r w:rsidRPr="00D859DD">
        <w:rPr>
          <w:rFonts w:ascii="Times New Roman" w:hAnsi="Times New Roman" w:cs="Times New Roman"/>
          <w:sz w:val="28"/>
          <w:szCs w:val="28"/>
        </w:rPr>
        <w:t>) 38-39-95</w:t>
      </w:r>
    </w:p>
    <w:p w:rsidR="00D859DD" w:rsidRPr="00C668C1" w:rsidRDefault="00D859DD" w:rsidP="00D859DD">
      <w:pPr>
        <w:pStyle w:val="ConsPlusCell"/>
        <w:ind w:right="-55"/>
        <w:rPr>
          <w:rFonts w:ascii="Times New Roman" w:hAnsi="Times New Roman" w:cs="Times New Roman"/>
          <w:sz w:val="28"/>
          <w:szCs w:val="28"/>
        </w:rPr>
      </w:pPr>
    </w:p>
    <w:p w:rsidR="00D859DD" w:rsidRPr="00C668C1" w:rsidRDefault="00D859DD" w:rsidP="00D859DD">
      <w:pPr>
        <w:pStyle w:val="ConsPlusCell"/>
        <w:ind w:right="-55"/>
        <w:rPr>
          <w:rFonts w:ascii="Times New Roman" w:hAnsi="Times New Roman" w:cs="Times New Roman"/>
          <w:sz w:val="28"/>
          <w:szCs w:val="28"/>
        </w:rPr>
      </w:pPr>
      <w:r w:rsidRPr="00C668C1">
        <w:rPr>
          <w:rFonts w:ascii="Times New Roman" w:hAnsi="Times New Roman" w:cs="Times New Roman"/>
          <w:sz w:val="28"/>
          <w:szCs w:val="28"/>
        </w:rPr>
        <w:t>Адрес электронной почты:</w:t>
      </w:r>
      <w:r w:rsidRPr="00771FD5">
        <w:rPr>
          <w:rFonts w:ascii="Times New Roman" w:hAnsi="Times New Roman" w:cs="Times New Roman"/>
          <w:sz w:val="28"/>
          <w:szCs w:val="28"/>
        </w:rPr>
        <w:t>sap_nps@mail.ru</w:t>
      </w:r>
    </w:p>
    <w:p w:rsidR="0029489E" w:rsidRPr="00B467EA" w:rsidRDefault="0029489E" w:rsidP="0029489E">
      <w:pPr>
        <w:pStyle w:val="ConsPlusCell"/>
        <w:ind w:right="-55"/>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D859DD" w:rsidP="008E7DB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20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gridCol w:w="10421"/>
      </w:tblGrid>
      <w:tr w:rsidR="00D859DD" w:rsidRPr="000F5CD0" w:rsidTr="00D859DD">
        <w:tc>
          <w:tcPr>
            <w:tcW w:w="10421" w:type="dxa"/>
          </w:tcPr>
          <w:p w:rsidR="00D859DD" w:rsidRPr="000F5CD0" w:rsidRDefault="00D859DD" w:rsidP="00D859DD">
            <w:pPr>
              <w:autoSpaceDE w:val="0"/>
              <w:autoSpaceDN w:val="0"/>
              <w:adjustRightInd w:val="0"/>
              <w:rPr>
                <w:sz w:val="28"/>
                <w:szCs w:val="28"/>
              </w:rPr>
            </w:pPr>
            <w:r w:rsidRPr="00D859DD">
              <w:rPr>
                <w:i/>
                <w:iCs/>
                <w:sz w:val="28"/>
                <w:szCs w:val="32"/>
              </w:rPr>
              <w:t>Является актуальным</w:t>
            </w:r>
          </w:p>
        </w:tc>
        <w:tc>
          <w:tcPr>
            <w:tcW w:w="10421" w:type="dxa"/>
          </w:tcPr>
          <w:p w:rsidR="00D859DD" w:rsidRPr="000F5CD0" w:rsidRDefault="00D859DD" w:rsidP="00D859DD">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D859DD" w:rsidP="008E7DB1">
            <w:pPr>
              <w:autoSpaceDE w:val="0"/>
              <w:autoSpaceDN w:val="0"/>
              <w:adjustRightInd w:val="0"/>
              <w:jc w:val="both"/>
              <w:rPr>
                <w:sz w:val="28"/>
                <w:szCs w:val="28"/>
              </w:rPr>
            </w:pPr>
            <w:r w:rsidRPr="00D859DD">
              <w:rPr>
                <w:i/>
                <w:iCs/>
                <w:sz w:val="28"/>
                <w:szCs w:val="32"/>
              </w:rPr>
              <w:t>Положений нормативного акта, содержащих избыточные обязанности, запреты и ограничения для субъектов предпринимательской и иной инвестиционной деятельности, не обнаружено</w:t>
            </w: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7F4686" w:rsidP="008E7DB1">
            <w:pPr>
              <w:autoSpaceDE w:val="0"/>
              <w:autoSpaceDN w:val="0"/>
              <w:adjustRightInd w:val="0"/>
              <w:rPr>
                <w:sz w:val="32"/>
                <w:szCs w:val="32"/>
              </w:rPr>
            </w:pPr>
            <w:r>
              <w:rPr>
                <w:i/>
                <w:iCs/>
                <w:sz w:val="28"/>
                <w:szCs w:val="32"/>
              </w:rPr>
              <w:t>Не способствует</w:t>
            </w: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8704B8" w:rsidRPr="00EE7B5F" w:rsidRDefault="008704B8" w:rsidP="008704B8">
            <w:pPr>
              <w:pStyle w:val="ConsPlusNormal"/>
              <w:spacing w:line="276" w:lineRule="auto"/>
              <w:jc w:val="both"/>
              <w:rPr>
                <w:rFonts w:ascii="Times New Roman" w:hAnsi="Times New Roman" w:cs="Times New Roman"/>
                <w:i/>
                <w:iCs/>
                <w:sz w:val="28"/>
                <w:szCs w:val="28"/>
              </w:rPr>
            </w:pPr>
            <w:r w:rsidRPr="00EE7B5F">
              <w:rPr>
                <w:rFonts w:ascii="Times New Roman" w:hAnsi="Times New Roman" w:cs="Times New Roman"/>
                <w:i/>
                <w:iCs/>
                <w:sz w:val="28"/>
                <w:szCs w:val="28"/>
              </w:rPr>
              <w:t>Предоставление субсидий некоммерческим организациям на возмещение затрат, связанных с оказанием услуг по социальному обслуживанию на дому граждан, нуждающихся в социальном обслуживани</w:t>
            </w:r>
            <w:r w:rsidR="00EE7B5F" w:rsidRPr="00EE7B5F">
              <w:rPr>
                <w:rFonts w:ascii="Times New Roman" w:hAnsi="Times New Roman" w:cs="Times New Roman"/>
                <w:i/>
                <w:iCs/>
                <w:sz w:val="28"/>
                <w:szCs w:val="28"/>
              </w:rPr>
              <w:t>и, и как следствие, социальная поддержка граждан, проживающих на территории Смоленской области</w:t>
            </w: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7F4686" w:rsidP="00D859DD">
            <w:pPr>
              <w:pStyle w:val="ConsPlusNormal"/>
              <w:spacing w:line="276" w:lineRule="auto"/>
              <w:jc w:val="both"/>
              <w:rPr>
                <w:rFonts w:ascii="Times New Roman" w:hAnsi="Times New Roman" w:cs="Times New Roman"/>
                <w:sz w:val="28"/>
                <w:szCs w:val="28"/>
              </w:rPr>
            </w:pPr>
            <w:r>
              <w:rPr>
                <w:rFonts w:ascii="Times New Roman" w:hAnsi="Times New Roman" w:cs="Times New Roman"/>
                <w:i/>
                <w:iCs/>
                <w:sz w:val="28"/>
                <w:szCs w:val="28"/>
              </w:rPr>
              <w:t>Не влияет</w:t>
            </w: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7F4686" w:rsidRDefault="007F4686" w:rsidP="007F4686">
            <w:pPr>
              <w:pStyle w:val="ConsPlusNormal"/>
              <w:spacing w:line="276" w:lineRule="auto"/>
              <w:jc w:val="both"/>
              <w:rPr>
                <w:rFonts w:ascii="Times New Roman" w:hAnsi="Times New Roman" w:cs="Times New Roman"/>
                <w:i/>
                <w:iCs/>
                <w:sz w:val="28"/>
                <w:szCs w:val="28"/>
              </w:rPr>
            </w:pPr>
            <w:r w:rsidRPr="007F4686">
              <w:rPr>
                <w:rFonts w:ascii="Times New Roman" w:hAnsi="Times New Roman" w:cs="Times New Roman"/>
                <w:i/>
                <w:iCs/>
                <w:sz w:val="28"/>
                <w:szCs w:val="28"/>
              </w:rPr>
              <w:t>Обязанности и ответственность субъектов предпринимательской и инвестиционной деятельности отражены полно и точно, административные процедуры, реализуемые государственными органами, прописаны понятно</w:t>
            </w: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недискриминационным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7F4686" w:rsidRDefault="007F4686" w:rsidP="007F4686">
            <w:pPr>
              <w:pStyle w:val="ConsPlusNormal"/>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П</w:t>
            </w:r>
            <w:r w:rsidRPr="007F4686">
              <w:rPr>
                <w:rFonts w:ascii="Times New Roman" w:hAnsi="Times New Roman" w:cs="Times New Roman"/>
                <w:i/>
                <w:iCs/>
                <w:sz w:val="28"/>
                <w:szCs w:val="28"/>
              </w:rPr>
              <w:t>роблем и трудностей с контролем соблюдения требований и норм, вводимых областным нормативным правовым актом, не обнаружено. Правовое регулирование является недискриминационным по отношению ко всем его адресатам</w:t>
            </w: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7F4686" w:rsidRDefault="007F4686" w:rsidP="007F4686">
            <w:pPr>
              <w:pStyle w:val="ConsPlusNormal"/>
              <w:spacing w:line="276" w:lineRule="auto"/>
              <w:jc w:val="both"/>
              <w:rPr>
                <w:rFonts w:ascii="Times New Roman" w:hAnsi="Times New Roman" w:cs="Times New Roman"/>
                <w:i/>
                <w:iCs/>
                <w:sz w:val="28"/>
                <w:szCs w:val="28"/>
              </w:rPr>
            </w:pPr>
            <w:r w:rsidRPr="007F4686">
              <w:rPr>
                <w:rFonts w:ascii="Times New Roman" w:hAnsi="Times New Roman" w:cs="Times New Roman"/>
                <w:i/>
                <w:iCs/>
                <w:sz w:val="28"/>
                <w:szCs w:val="28"/>
              </w:rPr>
              <w:t>Не требуется</w:t>
            </w: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7F4686" w:rsidRDefault="007F4686" w:rsidP="007F4686">
            <w:pPr>
              <w:pStyle w:val="ConsPlusNormal"/>
              <w:spacing w:line="276" w:lineRule="auto"/>
              <w:jc w:val="both"/>
              <w:rPr>
                <w:rFonts w:ascii="Times New Roman" w:hAnsi="Times New Roman" w:cs="Times New Roman"/>
                <w:i/>
                <w:iCs/>
                <w:sz w:val="28"/>
                <w:szCs w:val="28"/>
              </w:rPr>
            </w:pPr>
            <w:r w:rsidRPr="007F4686">
              <w:rPr>
                <w:rFonts w:ascii="Times New Roman" w:hAnsi="Times New Roman" w:cs="Times New Roman"/>
                <w:i/>
                <w:iCs/>
                <w:sz w:val="28"/>
                <w:szCs w:val="28"/>
              </w:rPr>
              <w:t>Замечаний и предложений нет</w:t>
            </w:r>
          </w:p>
        </w:tc>
      </w:tr>
    </w:tbl>
    <w:p w:rsidR="00263A3D" w:rsidRPr="00F9233B" w:rsidRDefault="00263A3D" w:rsidP="00B43E6E">
      <w:pPr>
        <w:autoSpaceDE w:val="0"/>
        <w:autoSpaceDN w:val="0"/>
        <w:adjustRightInd w:val="0"/>
        <w:jc w:val="both"/>
        <w:rPr>
          <w:sz w:val="28"/>
          <w:szCs w:val="28"/>
        </w:rPr>
      </w:pPr>
    </w:p>
    <w:sectPr w:rsidR="00263A3D" w:rsidRPr="00F9233B" w:rsidSect="00B43E6E">
      <w:headerReference w:type="even" r:id="rId9"/>
      <w:headerReference w:type="default" r:id="rId10"/>
      <w:footerReference w:type="first" r:id="rId11"/>
      <w:pgSz w:w="11906" w:h="16838"/>
      <w:pgMar w:top="1134" w:right="567" w:bottom="851"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EC0" w:rsidRDefault="008D0EC0">
      <w:r>
        <w:separator/>
      </w:r>
    </w:p>
  </w:endnote>
  <w:endnote w:type="continuationSeparator" w:id="1">
    <w:p w:rsidR="008D0EC0" w:rsidRDefault="008D0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F18" w:rsidRPr="00422F18" w:rsidRDefault="00422F18">
    <w:pPr>
      <w:pStyle w:val="a6"/>
      <w:rPr>
        <w:sz w:val="16"/>
      </w:rPr>
    </w:pPr>
    <w:r>
      <w:rPr>
        <w:sz w:val="16"/>
      </w:rPr>
      <w:t>Рег. № 0411 от 16.02.2023, Подписано ЭП: Романенков Роман Александрович, Начальник Департамента 16.02.2023 10:04:34,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EC0" w:rsidRDefault="008D0EC0">
      <w:r>
        <w:separator/>
      </w:r>
    </w:p>
  </w:footnote>
  <w:footnote w:type="continuationSeparator" w:id="1">
    <w:p w:rsidR="008D0EC0" w:rsidRDefault="008D0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2506"/>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0762"/>
    <w:rsid w:val="001F3939"/>
    <w:rsid w:val="001F3C60"/>
    <w:rsid w:val="001F47C7"/>
    <w:rsid w:val="001F719F"/>
    <w:rsid w:val="00201259"/>
    <w:rsid w:val="00202749"/>
    <w:rsid w:val="00205429"/>
    <w:rsid w:val="002075AF"/>
    <w:rsid w:val="0020786B"/>
    <w:rsid w:val="002113E9"/>
    <w:rsid w:val="002141CA"/>
    <w:rsid w:val="00214367"/>
    <w:rsid w:val="00214513"/>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5A1C"/>
    <w:rsid w:val="00287661"/>
    <w:rsid w:val="0029489E"/>
    <w:rsid w:val="002969E4"/>
    <w:rsid w:val="00296EE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304552"/>
    <w:rsid w:val="003175DF"/>
    <w:rsid w:val="003210B3"/>
    <w:rsid w:val="00341960"/>
    <w:rsid w:val="00342E1E"/>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0CE5"/>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4686"/>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04B8"/>
    <w:rsid w:val="008724D2"/>
    <w:rsid w:val="00874FE4"/>
    <w:rsid w:val="0087714C"/>
    <w:rsid w:val="008902E6"/>
    <w:rsid w:val="00891D9D"/>
    <w:rsid w:val="008A4067"/>
    <w:rsid w:val="008A69A0"/>
    <w:rsid w:val="008B2E04"/>
    <w:rsid w:val="008B7E17"/>
    <w:rsid w:val="008C4A50"/>
    <w:rsid w:val="008D0EC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859DD"/>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E7B5F"/>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DCC9F-719B-42E6-989D-AF98CC69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Гришенков</cp:lastModifiedBy>
  <cp:revision>2</cp:revision>
  <cp:lastPrinted>2021-07-28T07:47:00Z</cp:lastPrinted>
  <dcterms:created xsi:type="dcterms:W3CDTF">2023-04-13T09:00:00Z</dcterms:created>
  <dcterms:modified xsi:type="dcterms:W3CDTF">2023-04-13T09:00:00Z</dcterms:modified>
</cp:coreProperties>
</file>